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Times New Roman" w:eastAsia="黑体" w:cs="Times New Roman"/>
        </w:rPr>
      </w:pPr>
      <w:r>
        <w:rPr>
          <w:rFonts w:hint="eastAsia" w:ascii="黑体" w:hAnsi="Times New Roman" w:eastAsia="黑体" w:cs="Times New Roman"/>
          <w:bCs/>
        </w:rPr>
        <w:t>附件</w:t>
      </w:r>
    </w:p>
    <w:p>
      <w:pPr>
        <w:pStyle w:val="2"/>
        <w:snapToGrid w:val="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湖滨区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教育经费执行情况统计表</w:t>
      </w:r>
    </w:p>
    <w:p>
      <w:pPr>
        <w:pStyle w:val="2"/>
        <w:snapToGrid w:val="0"/>
        <w:jc w:val="center"/>
        <w:rPr>
          <w:rFonts w:hint="eastAsia" w:ascii="黑体" w:hAnsi="Times New Roman" w:eastAsia="黑体" w:cs="Times New Roman"/>
          <w:bCs/>
          <w:sz w:val="13"/>
          <w:szCs w:val="13"/>
        </w:rPr>
      </w:pPr>
    </w:p>
    <w:p>
      <w:pPr>
        <w:pStyle w:val="2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hint="eastAsia" w:ascii="黑体" w:hAnsi="Times New Roman" w:eastAsia="黑体" w:cs="Times New Roman"/>
          <w:bCs/>
          <w:sz w:val="24"/>
          <w:szCs w:val="24"/>
        </w:rPr>
        <w:t xml:space="preserve">表一  </w:t>
      </w:r>
      <w:r>
        <w:rPr>
          <w:rFonts w:hint="eastAsia" w:ascii="Times New Roman" w:hAnsi="Times New Roman" w:eastAsia="黑体" w:cs="Times New Roman"/>
          <w:bCs/>
          <w:sz w:val="24"/>
          <w:szCs w:val="24"/>
        </w:rPr>
        <w:t>20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21</w:t>
      </w:r>
      <w:r>
        <w:rPr>
          <w:rFonts w:hint="eastAsia" w:ascii="黑体" w:hAnsi="Times New Roman" w:eastAsia="黑体" w:cs="Times New Roman"/>
          <w:bCs/>
          <w:sz w:val="24"/>
          <w:szCs w:val="24"/>
        </w:rPr>
        <w:t>年一般公共预算教育经费增长情况</w:t>
      </w:r>
    </w:p>
    <w:p>
      <w:pPr>
        <w:pStyle w:val="2"/>
        <w:jc w:val="both"/>
        <w:rPr>
          <w:rFonts w:hint="eastAsia" w:ascii="黑体" w:hAnsi="Times New Roman" w:eastAsia="黑体" w:cs="Times New Roman"/>
          <w:bCs/>
          <w:sz w:val="24"/>
          <w:szCs w:val="24"/>
        </w:rPr>
      </w:pPr>
    </w:p>
    <w:tbl>
      <w:tblPr>
        <w:tblStyle w:val="5"/>
        <w:tblW w:w="11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2535"/>
        <w:gridCol w:w="294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tblHeader/>
          <w:jc w:val="center"/>
        </w:trPr>
        <w:tc>
          <w:tcPr>
            <w:tcW w:w="3370" w:type="dxa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一般公共预</w:t>
            </w:r>
            <w:bookmarkStart w:id="0" w:name="_GoBack"/>
            <w:bookmarkEnd w:id="0"/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算教育经费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一般公共预算教育经费占一般公共预算支出比例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一般公共预算教育经费本年比上年增长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70" w:type="dxa"/>
            <w:tcMar>
              <w:lef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湖滨区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Arial" w:eastAsia="仿宋_GB2312" w:cs="Arial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 w:cs="Arial"/>
                <w:sz w:val="18"/>
                <w:szCs w:val="18"/>
                <w:lang w:val="en-US" w:eastAsia="zh-CN"/>
              </w:rPr>
              <w:t>31714</w:t>
            </w:r>
          </w:p>
        </w:tc>
        <w:tc>
          <w:tcPr>
            <w:tcW w:w="294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Arial" w:eastAsia="仿宋_GB2312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Arial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285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Arial" w:eastAsia="仿宋_GB2312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Arial"/>
                <w:sz w:val="18"/>
                <w:szCs w:val="18"/>
                <w:lang w:val="en-US" w:eastAsia="zh-CN"/>
              </w:rPr>
              <w:t>65</w:t>
            </w:r>
          </w:p>
        </w:tc>
      </w:tr>
    </w:tbl>
    <w:p>
      <w:pPr>
        <w:pStyle w:val="2"/>
        <w:spacing w:line="300" w:lineRule="exact"/>
        <w:jc w:val="both"/>
        <w:rPr>
          <w:rFonts w:hint="eastAsia" w:ascii="黑体" w:hAnsi="Times New Roman" w:eastAsia="黑体" w:cs="Times New Roman"/>
          <w:bCs/>
          <w:sz w:val="24"/>
          <w:szCs w:val="24"/>
        </w:rPr>
      </w:pPr>
    </w:p>
    <w:p>
      <w:pPr>
        <w:pStyle w:val="2"/>
        <w:spacing w:line="300" w:lineRule="exact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</w:p>
    <w:p>
      <w:pPr>
        <w:pStyle w:val="2"/>
        <w:spacing w:line="300" w:lineRule="exact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hint="eastAsia" w:ascii="黑体" w:hAnsi="Times New Roman" w:eastAsia="黑体" w:cs="Times New Roman"/>
          <w:bCs/>
          <w:sz w:val="24"/>
          <w:szCs w:val="24"/>
        </w:rPr>
        <w:t>表二  各级教育生均一般公共预算教育</w:t>
      </w:r>
      <w:r>
        <w:rPr>
          <w:rFonts w:hint="eastAsia" w:ascii="黑体" w:hAnsi="Times New Roman" w:eastAsia="黑体" w:cs="Times New Roman"/>
          <w:bCs/>
          <w:sz w:val="24"/>
          <w:szCs w:val="24"/>
          <w:lang w:eastAsia="zh-CN"/>
        </w:rPr>
        <w:t>经</w:t>
      </w:r>
      <w:r>
        <w:rPr>
          <w:rFonts w:hint="eastAsia" w:ascii="黑体" w:hAnsi="Times New Roman" w:eastAsia="黑体" w:cs="Times New Roman"/>
          <w:bCs/>
          <w:sz w:val="24"/>
          <w:szCs w:val="24"/>
        </w:rPr>
        <w:t>费增长情况</w:t>
      </w:r>
    </w:p>
    <w:tbl>
      <w:tblPr>
        <w:tblStyle w:val="5"/>
        <w:tblpPr w:leftFromText="180" w:rightFromText="180" w:vertAnchor="text" w:horzAnchor="page" w:tblpX="1448" w:tblpY="473"/>
        <w:tblOverlap w:val="never"/>
        <w:tblW w:w="13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765"/>
        <w:gridCol w:w="885"/>
        <w:gridCol w:w="870"/>
        <w:gridCol w:w="960"/>
        <w:gridCol w:w="930"/>
        <w:gridCol w:w="900"/>
        <w:gridCol w:w="885"/>
        <w:gridCol w:w="870"/>
        <w:gridCol w:w="825"/>
        <w:gridCol w:w="795"/>
        <w:gridCol w:w="840"/>
        <w:gridCol w:w="840"/>
        <w:gridCol w:w="810"/>
        <w:gridCol w:w="75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Header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普通高中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中等职业学校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Header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eastAsia="zh-CN"/>
              </w:rPr>
              <w:t>湖滨区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13195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13307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24544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22949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33791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34098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91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61886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63404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Arial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42944</w:t>
            </w:r>
            <w:r>
              <w:rPr>
                <w:rFonts w:hint="eastAsia" w:ascii="仿宋_GB2312" w:hAnsi="Arial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94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Arial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51544</w:t>
            </w:r>
            <w:r>
              <w:rPr>
                <w:rFonts w:hint="eastAsia" w:ascii="仿宋_GB2312" w:hAnsi="Arial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Arial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Arial"/>
                <w:b w:val="0"/>
                <w:bCs/>
                <w:color w:val="000000"/>
                <w:sz w:val="15"/>
                <w:szCs w:val="15"/>
                <w:lang w:val="en-US" w:eastAsia="zh-CN"/>
              </w:rPr>
              <w:t>02</w:t>
            </w:r>
          </w:p>
        </w:tc>
      </w:tr>
    </w:tbl>
    <w:p>
      <w:pPr>
        <w:pStyle w:val="2"/>
        <w:snapToGrid w:val="0"/>
        <w:jc w:val="right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hint="eastAsia" w:hAnsi="华文仿宋" w:cs="Times New Roman"/>
          <w:sz w:val="24"/>
          <w:szCs w:val="24"/>
        </w:rPr>
        <w:t>单位</w:t>
      </w:r>
      <w:r>
        <w:rPr>
          <w:rFonts w:hint="eastAsia" w:hAnsi="Times New Roman" w:cs="Times New Roman"/>
          <w:sz w:val="24"/>
          <w:szCs w:val="24"/>
        </w:rPr>
        <w:t>:</w:t>
      </w:r>
      <w:r>
        <w:rPr>
          <w:rFonts w:hint="eastAsia" w:hAnsi="华文仿宋" w:cs="Times New Roman"/>
          <w:sz w:val="24"/>
          <w:szCs w:val="24"/>
        </w:rPr>
        <w:t>元</w:t>
      </w:r>
    </w:p>
    <w:p>
      <w:pPr>
        <w:pStyle w:val="2"/>
        <w:jc w:val="both"/>
        <w:rPr>
          <w:rFonts w:hint="eastAsia" w:ascii="黑体" w:hAnsi="Times New Roman" w:eastAsia="黑体" w:cs="Times New Roman"/>
          <w:bCs/>
          <w:sz w:val="24"/>
          <w:szCs w:val="24"/>
        </w:rPr>
      </w:pPr>
    </w:p>
    <w:p>
      <w:pPr>
        <w:pStyle w:val="2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hint="eastAsia" w:ascii="黑体" w:hAnsi="Times New Roman" w:eastAsia="黑体" w:cs="Times New Roman"/>
          <w:bCs/>
          <w:sz w:val="24"/>
          <w:szCs w:val="24"/>
        </w:rPr>
        <w:t>表</w:t>
      </w:r>
      <w:r>
        <w:rPr>
          <w:rFonts w:hint="eastAsia" w:ascii="黑体" w:hAnsi="Times New Roman" w:eastAsia="黑体" w:cs="Times New Roman"/>
          <w:bCs/>
          <w:sz w:val="24"/>
          <w:szCs w:val="24"/>
          <w:lang w:eastAsia="zh-CN"/>
        </w:rPr>
        <w:t>三</w:t>
      </w:r>
      <w:r>
        <w:rPr>
          <w:rFonts w:hint="eastAsia" w:ascii="黑体" w:hAnsi="Times New Roman" w:eastAsia="黑体" w:cs="Times New Roman"/>
          <w:bCs/>
          <w:sz w:val="24"/>
          <w:szCs w:val="24"/>
        </w:rPr>
        <w:t xml:space="preserve">  各级教育生均一般公共预算</w:t>
      </w:r>
      <w:r>
        <w:rPr>
          <w:rFonts w:hint="eastAsia" w:ascii="黑体" w:hAnsi="Times New Roman" w:eastAsia="黑体" w:cs="Times New Roman"/>
          <w:bCs/>
          <w:sz w:val="24"/>
          <w:szCs w:val="24"/>
          <w:lang w:eastAsia="zh-CN"/>
        </w:rPr>
        <w:t>教育事业费</w:t>
      </w:r>
      <w:r>
        <w:rPr>
          <w:rFonts w:hint="eastAsia" w:ascii="黑体" w:hAnsi="Times New Roman" w:eastAsia="黑体" w:cs="Times New Roman"/>
          <w:bCs/>
          <w:sz w:val="24"/>
          <w:szCs w:val="24"/>
        </w:rPr>
        <w:t>增长情况</w:t>
      </w:r>
    </w:p>
    <w:p>
      <w:pPr>
        <w:pStyle w:val="2"/>
        <w:snapToGrid w:val="0"/>
        <w:jc w:val="right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ascii="Times New Roman" w:hAnsi="华文仿宋" w:eastAsia="华文仿宋" w:cs="Times New Roman"/>
          <w:sz w:val="24"/>
          <w:szCs w:val="24"/>
        </w:rPr>
        <w:t>单位</w:t>
      </w:r>
      <w:r>
        <w:rPr>
          <w:rFonts w:ascii="Times New Roman" w:hAnsi="Times New Roman" w:eastAsia="华文仿宋" w:cs="Times New Roman"/>
          <w:sz w:val="24"/>
          <w:szCs w:val="24"/>
        </w:rPr>
        <w:t>:</w:t>
      </w:r>
      <w:r>
        <w:rPr>
          <w:rFonts w:ascii="Times New Roman" w:hAnsi="华文仿宋" w:eastAsia="华文仿宋" w:cs="Times New Roman"/>
          <w:sz w:val="24"/>
          <w:szCs w:val="24"/>
        </w:rPr>
        <w:t>元</w:t>
      </w:r>
    </w:p>
    <w:tbl>
      <w:tblPr>
        <w:tblStyle w:val="5"/>
        <w:tblpPr w:leftFromText="180" w:rightFromText="180" w:vertAnchor="text" w:horzAnchor="page" w:tblpX="1448" w:tblpY="473"/>
        <w:tblOverlap w:val="never"/>
        <w:tblW w:w="138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829"/>
        <w:gridCol w:w="821"/>
        <w:gridCol w:w="870"/>
        <w:gridCol w:w="960"/>
        <w:gridCol w:w="930"/>
        <w:gridCol w:w="847"/>
        <w:gridCol w:w="938"/>
        <w:gridCol w:w="870"/>
        <w:gridCol w:w="856"/>
        <w:gridCol w:w="869"/>
        <w:gridCol w:w="811"/>
        <w:gridCol w:w="764"/>
        <w:gridCol w:w="904"/>
        <w:gridCol w:w="732"/>
        <w:gridCol w:w="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Header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普通高中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中等职业学校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Header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湖滨区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12642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13322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21636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22930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32438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34258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62296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67511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42944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53256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</w:tr>
    </w:tbl>
    <w:p>
      <w:pPr>
        <w:snapToGrid w:val="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2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</w:p>
    <w:p>
      <w:pPr>
        <w:pStyle w:val="2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</w:p>
    <w:p>
      <w:pPr>
        <w:pStyle w:val="2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hint="eastAsia" w:ascii="黑体" w:hAnsi="Times New Roman" w:eastAsia="黑体" w:cs="Times New Roman"/>
          <w:bCs/>
          <w:sz w:val="24"/>
          <w:szCs w:val="24"/>
        </w:rPr>
        <w:t>表</w:t>
      </w:r>
      <w:r>
        <w:rPr>
          <w:rFonts w:hint="eastAsia" w:ascii="黑体" w:hAnsi="Times New Roman" w:eastAsia="黑体" w:cs="Times New Roman"/>
          <w:bCs/>
          <w:sz w:val="24"/>
          <w:szCs w:val="24"/>
          <w:lang w:eastAsia="zh-CN"/>
        </w:rPr>
        <w:t>四</w:t>
      </w:r>
      <w:r>
        <w:rPr>
          <w:rFonts w:hint="eastAsia" w:ascii="黑体" w:hAnsi="Times New Roman" w:eastAsia="黑体" w:cs="Times New Roman"/>
          <w:bCs/>
          <w:sz w:val="24"/>
          <w:szCs w:val="24"/>
        </w:rPr>
        <w:t xml:space="preserve">  各级教育生均一般公共预算</w:t>
      </w:r>
      <w:r>
        <w:rPr>
          <w:rFonts w:hint="eastAsia" w:ascii="黑体" w:hAnsi="Times New Roman" w:eastAsia="黑体" w:cs="Times New Roman"/>
          <w:bCs/>
          <w:sz w:val="24"/>
          <w:szCs w:val="24"/>
          <w:lang w:eastAsia="zh-CN"/>
        </w:rPr>
        <w:t>公用经费</w:t>
      </w:r>
      <w:r>
        <w:rPr>
          <w:rFonts w:hint="eastAsia" w:ascii="黑体" w:hAnsi="Times New Roman" w:eastAsia="黑体" w:cs="Times New Roman"/>
          <w:bCs/>
          <w:sz w:val="24"/>
          <w:szCs w:val="24"/>
        </w:rPr>
        <w:t>增长情况</w:t>
      </w:r>
    </w:p>
    <w:p>
      <w:pPr>
        <w:pStyle w:val="2"/>
        <w:snapToGrid w:val="0"/>
        <w:jc w:val="right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ascii="Times New Roman" w:hAnsi="华文仿宋" w:eastAsia="华文仿宋" w:cs="Times New Roman"/>
          <w:sz w:val="24"/>
          <w:szCs w:val="24"/>
        </w:rPr>
        <w:t>单位</w:t>
      </w:r>
      <w:r>
        <w:rPr>
          <w:rFonts w:ascii="Times New Roman" w:hAnsi="Times New Roman" w:eastAsia="华文仿宋" w:cs="Times New Roman"/>
          <w:sz w:val="24"/>
          <w:szCs w:val="24"/>
        </w:rPr>
        <w:t>:</w:t>
      </w:r>
      <w:r>
        <w:rPr>
          <w:rFonts w:ascii="Times New Roman" w:hAnsi="华文仿宋" w:eastAsia="华文仿宋" w:cs="Times New Roman"/>
          <w:sz w:val="24"/>
          <w:szCs w:val="24"/>
        </w:rPr>
        <w:t>元</w:t>
      </w:r>
    </w:p>
    <w:tbl>
      <w:tblPr>
        <w:tblStyle w:val="5"/>
        <w:tblpPr w:leftFromText="180" w:rightFromText="180" w:vertAnchor="text" w:horzAnchor="page" w:tblpX="1448" w:tblpY="473"/>
        <w:tblOverlap w:val="never"/>
        <w:tblW w:w="138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765"/>
        <w:gridCol w:w="885"/>
        <w:gridCol w:w="870"/>
        <w:gridCol w:w="960"/>
        <w:gridCol w:w="930"/>
        <w:gridCol w:w="847"/>
        <w:gridCol w:w="938"/>
        <w:gridCol w:w="870"/>
        <w:gridCol w:w="844"/>
        <w:gridCol w:w="851"/>
        <w:gridCol w:w="825"/>
        <w:gridCol w:w="780"/>
        <w:gridCol w:w="868"/>
        <w:gridCol w:w="792"/>
        <w:gridCol w:w="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Header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普通高中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中等职业学校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Header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Calibri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eastAsia="zh-CN"/>
              </w:rPr>
              <w:t>湖滨区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4448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3232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13986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13607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12042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15273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42007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50866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11468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14551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黑体" w:eastAsia="黑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18"/>
                <w:szCs w:val="18"/>
                <w:lang w:val="en-US" w:eastAsia="zh-CN"/>
              </w:rPr>
              <w:t>89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0585"/>
    <w:rsid w:val="435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0"/>
      <w:szCs w:val="30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2023-03-22T07:20:00Z</dcterms:created>
  <dc:creator>lenovo、</dc:creator>
  <cp:lastModifiedBy>lenovo、</cp:lastModifiedBy>
  <dcterms:modified xsi:type="dcterms:W3CDTF">2023-03-22T07:21:07Z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418873920F364D69B56DA1CD8E6C5111</vt:lpwstr>
  </property>
</Properties>
</file>