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2" w:tblpY="588"/>
        <w:tblOverlap w:val="never"/>
        <w:tblW w:w="1009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2818"/>
        <w:gridCol w:w="2561"/>
        <w:gridCol w:w="795"/>
        <w:gridCol w:w="13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82" w:hRule="atLeast"/>
          <w:tblCellSpacing w:w="0" w:type="dxa"/>
        </w:trPr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ascii="黑体" w:hAnsi="宋体" w:eastAsia="黑体" w:cs="黑体"/>
                <w:sz w:val="24"/>
                <w:szCs w:val="24"/>
              </w:rPr>
              <w:t>自评项目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自 评 内 容</w:t>
            </w:r>
          </w:p>
        </w:tc>
        <w:tc>
          <w:tcPr>
            <w:tcW w:w="2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自 评 记 录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自评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得分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存在的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主要问题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35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ascii="仿宋_GB2312" w:eastAsia="仿宋_GB2312" w:cs="仿宋_GB2312"/>
                <w:sz w:val="24"/>
                <w:szCs w:val="24"/>
              </w:rPr>
              <w:t>艺术课程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按照国家要求开齐开足上好音乐、美术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劳动、国防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等艺术课程。利用当地教育资源，开发具有民族、地域特色的艺术课程，推进教学改革，提高教学质量。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音乐： 2</w:t>
            </w:r>
            <w:r>
              <w:rPr>
                <w:rFonts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课时/周；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美术： 2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课时/周；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劳动：1课时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地方/学校美育校本课程： 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课时/周，例如课程类别有： 合唱、舞蹈、器乐、美术、书法、传统文化等。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部分九年级未开设劳动、国防教育课程。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结合中学实际情况，积极探索综合艺术课程的开发，落实学生综合美育素养养成教育。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0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艺术活动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学校开展艺术节等活动场次： 1场/年；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每周开展艺术活动频次： 1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次/周；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校级学生艺术社团/兴趣小组数量：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 每校不少于4个，列出项目如：合唱、民乐、管乐、舞蹈、美术、书法等）；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艺术活动学生参与面（占学校学生总数比例）： 95%；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校园文化艺术环境基本情况： 环境优雅，充满朝气，以美育人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。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8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艺术教师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严格按方案照国家课程规定的课时数和学校班级数配备艺术教师，满足艺术教育基本需求，艺术教师生师比达到标准值，艺术教师平均周课时： 1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课时/周。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注重加强艺术教师队伍建设，积极组织艺术教师参加各级各类专业教学培训，不断提升教师的专业素养。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613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条件保障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设置艺术专用教室和艺术活动室，并按照国家标准配备艺术课程教学和艺术活动器材。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艺术专用教室/活动室： 每校不少于6个，其中：音乐  3个、美术 3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个、其他1-2个（列出名称  如书法教室、舞蹈教室等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艺术场馆：每校 不少于1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个，面积： 200㎡（列出名称 合唱厅、音乐厅、舞蹈教室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 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、综合教室等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是否按照国家标准配备艺术课程教学和艺术活动器材: 是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       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616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特色发展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480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>本年度举办艺术活动：组织全区学生参加 “2022 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第十届中小学生艺术展演市级现场展演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活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动。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>”，鼓励全区学生参与其中；为学生搭建美育展示平台。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325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学生艺术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素质测评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</w:rPr>
              <w:t>（加分10分）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认真组织实施学生艺术素质测评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实施学生艺术素质测评的起始学年： 2018-2019学年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本学年学生艺术素质测评的覆盖面（占学校学生总数比例）： 100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%；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本学年学生艺术素质测评结果：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优秀9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5.8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%、良好 97.5 %、合格 99.6 %、不合格 0.</w:t>
            </w:r>
            <w:r>
              <w:rPr>
                <w:rFonts w:hint="eastAsia" w:asci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  <w:bookmarkStart w:id="0" w:name="_GoBack"/>
            <w:bookmarkEnd w:id="0"/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CellSpacing w:w="0" w:type="dxa"/>
        </w:trPr>
        <w:tc>
          <w:tcPr>
            <w:tcW w:w="11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</w:rPr>
              <w:t>自评结果</w:t>
            </w:r>
          </w:p>
        </w:tc>
        <w:tc>
          <w:tcPr>
            <w:tcW w:w="894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等级</w:t>
            </w:r>
            <w:r>
              <w:rPr>
                <w:rFonts w:hint="default" w:ascii="仿宋_GB2312" w:eastAsia="仿宋_GB2312" w:cs="仿宋_GB2312"/>
                <w:sz w:val="24"/>
                <w:szCs w:val="24"/>
                <w:u w:val="single"/>
              </w:rPr>
              <w:t>  优秀</w:t>
            </w:r>
            <w:r>
              <w:rPr>
                <w:rFonts w:hint="default" w:ascii="Calibri" w:hAnsi="Calibri" w:eastAsia="仿宋_GB2312" w:cs="Calibri"/>
                <w:sz w:val="24"/>
                <w:szCs w:val="24"/>
                <w:u w:val="single"/>
              </w:rPr>
              <w:t>   </w:t>
            </w: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2I5NDdhYWM4MmZiZmYxMWYyYmZmYmU3NWJlMzAifQ=="/>
  </w:docVars>
  <w:rsids>
    <w:rsidRoot w:val="00000000"/>
    <w:rsid w:val="0A1B2C7A"/>
    <w:rsid w:val="32285F6F"/>
    <w:rsid w:val="4168282C"/>
    <w:rsid w:val="508036EE"/>
    <w:rsid w:val="50BE4216"/>
    <w:rsid w:val="54113FA4"/>
    <w:rsid w:val="75E874BC"/>
    <w:rsid w:val="781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2023-11-07T11:08:32Z</dcterms:created>
  <dc:creator>lenovo</dc:creator>
  <cp:lastModifiedBy>lenovo</cp:lastModifiedBy>
  <dcterms:modified xsi:type="dcterms:W3CDTF">2023-11-07T11:51:36Z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9D7B5C3945FA4C209044713263F0C1EC_12</vt:lpwstr>
  </property>
</Properties>
</file>