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hint="eastAsia" w:ascii="方正大标宋简体" w:hAnsi="方正大标宋简体" w:eastAsia="方正大标宋简体" w:cs="方正大标宋简体"/>
          <w:w w:val="100"/>
          <w:sz w:val="44"/>
          <w:szCs w:val="44"/>
          <w:lang w:val="en-US" w:eastAsia="zh-CN"/>
        </w:rPr>
      </w:pPr>
      <w:r>
        <w:rPr>
          <w:rFonts w:hint="eastAsia" w:ascii="方正大标宋简体" w:hAnsi="方正大标宋简体" w:eastAsia="方正大标宋简体" w:cs="方正大标宋简体"/>
          <w:w w:val="100"/>
          <w:sz w:val="44"/>
          <w:szCs w:val="44"/>
          <w:lang w:val="en-US" w:eastAsia="zh-CN"/>
        </w:rPr>
        <w:t>湖滨区人力资源和社会保障局</w:t>
      </w: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hint="default" w:ascii="方正大标宋简体" w:hAnsi="方正大标宋简体" w:eastAsia="方正大标宋简体" w:cs="方正大标宋简体"/>
          <w:w w:val="100"/>
          <w:sz w:val="44"/>
          <w:szCs w:val="44"/>
          <w:lang w:val="en-US" w:eastAsia="zh-CN"/>
        </w:rPr>
      </w:pPr>
      <w:r>
        <w:rPr>
          <w:rFonts w:hint="eastAsia" w:ascii="方正大标宋简体" w:hAnsi="方正大标宋简体" w:eastAsia="方正大标宋简体" w:cs="方正大标宋简体"/>
          <w:w w:val="100"/>
          <w:sz w:val="44"/>
          <w:szCs w:val="44"/>
          <w:lang w:val="en-US" w:eastAsia="zh-CN"/>
        </w:rPr>
        <w:t>关于2023年法治政府建设情况的报告</w:t>
      </w:r>
    </w:p>
    <w:p>
      <w:pPr>
        <w:pStyle w:val="5"/>
        <w:keepNext w:val="0"/>
        <w:keepLines w:val="0"/>
        <w:pageBreakBefore w:val="0"/>
        <w:kinsoku/>
        <w:wordWrap/>
        <w:overflowPunct/>
        <w:topLinePunct w:val="0"/>
        <w:autoSpaceDE/>
        <w:autoSpaceDN/>
        <w:bidi w:val="0"/>
        <w:adjustRightInd/>
        <w:snapToGrid/>
        <w:spacing w:line="578" w:lineRule="exact"/>
        <w:ind w:right="0" w:rightChars="0"/>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78" w:lineRule="exact"/>
        <w:ind w:right="0" w:rightChars="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2023以来，湖滨区人社局</w:t>
      </w:r>
      <w:r>
        <w:rPr>
          <w:rFonts w:hint="default" w:ascii="Times New Roman" w:hAnsi="Times New Roman" w:eastAsia="仿宋_GB2312" w:cs="Times New Roman"/>
          <w:color w:val="auto"/>
          <w:sz w:val="32"/>
          <w:szCs w:val="32"/>
          <w:lang w:val="en-US" w:eastAsia="zh-CN"/>
        </w:rPr>
        <w:t>以</w:t>
      </w:r>
      <w:r>
        <w:rPr>
          <w:rFonts w:hint="eastAsia" w:eastAsia="仿宋_GB2312" w:cs="Times New Roman"/>
          <w:color w:val="auto"/>
          <w:sz w:val="32"/>
          <w:szCs w:val="32"/>
          <w:lang w:val="en-US" w:eastAsia="zh-CN"/>
        </w:rPr>
        <w:t>党的二十大精神和</w:t>
      </w:r>
      <w:r>
        <w:rPr>
          <w:rFonts w:hint="default" w:ascii="Times New Roman" w:hAnsi="Times New Roman" w:eastAsia="仿宋_GB2312" w:cs="Times New Roman"/>
          <w:color w:val="auto"/>
          <w:sz w:val="32"/>
          <w:szCs w:val="32"/>
          <w:lang w:val="en-US" w:eastAsia="zh-CN"/>
        </w:rPr>
        <w:t>习近平新时代中国特色社会主义思想为指导</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深入学习贯</w:t>
      </w:r>
      <w:r>
        <w:rPr>
          <w:rFonts w:hint="eastAsia" w:ascii="Times New Roman" w:hAnsi="Times New Roman" w:eastAsia="仿宋_GB2312" w:cs="Times New Roman"/>
          <w:color w:val="auto"/>
          <w:sz w:val="32"/>
          <w:szCs w:val="32"/>
          <w:lang w:val="en-US" w:eastAsia="zh-CN"/>
        </w:rPr>
        <w:t>彻</w:t>
      </w:r>
      <w:r>
        <w:rPr>
          <w:rFonts w:hint="default" w:ascii="Times New Roman" w:hAnsi="Times New Roman" w:eastAsia="仿宋_GB2312" w:cs="Times New Roman"/>
          <w:color w:val="auto"/>
          <w:sz w:val="32"/>
          <w:szCs w:val="32"/>
          <w:lang w:val="en-US" w:eastAsia="zh-CN"/>
        </w:rPr>
        <w:t>习近平法治思想</w:t>
      </w:r>
      <w:r>
        <w:rPr>
          <w:rFonts w:hint="eastAsia" w:ascii="Times New Roman" w:hAnsi="Times New Roman" w:eastAsia="仿宋_GB2312" w:cs="Times New Roman"/>
          <w:color w:val="auto"/>
          <w:sz w:val="32"/>
          <w:szCs w:val="32"/>
          <w:lang w:val="en-US" w:eastAsia="zh-CN"/>
        </w:rPr>
        <w:t>，做到了</w:t>
      </w:r>
      <w:r>
        <w:rPr>
          <w:rFonts w:hint="default" w:ascii="Times New Roman" w:hAnsi="Times New Roman" w:eastAsia="仿宋_GB2312" w:cs="Times New Roman"/>
          <w:color w:val="auto"/>
          <w:sz w:val="32"/>
          <w:szCs w:val="32"/>
          <w:lang w:val="en-US" w:eastAsia="zh-CN"/>
        </w:rPr>
        <w:t>全面建设职能科学、权责法定、执法严明、公开公正、智能高效、廉洁诚信</w:t>
      </w:r>
      <w:r>
        <w:rPr>
          <w:rFonts w:hint="eastAsia" w:ascii="Times New Roman" w:hAnsi="Times New Roman" w:eastAsia="仿宋_GB2312" w:cs="Times New Roman"/>
          <w:color w:val="auto"/>
          <w:sz w:val="32"/>
          <w:szCs w:val="32"/>
          <w:lang w:val="en-US" w:eastAsia="zh-CN"/>
        </w:rPr>
        <w:t>的法治政府</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，各项工作进展顺利。现将2023年度以来工作开展情况报告如下：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78" w:lineRule="exact"/>
        <w:ind w:right="0" w:rightChars="0" w:firstLine="640" w:firstLineChars="200"/>
        <w:jc w:val="left"/>
        <w:textAlignment w:val="auto"/>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法治建设基本情况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78" w:lineRule="exact"/>
        <w:ind w:left="0" w:leftChars="0" w:right="0" w:rightChars="0" w:firstLine="421" w:firstLineChars="131"/>
        <w:jc w:val="left"/>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b/>
          <w:bCs/>
          <w:i w:val="0"/>
          <w:iCs w:val="0"/>
          <w:caps w:val="0"/>
          <w:color w:val="000000"/>
          <w:spacing w:val="0"/>
          <w:kern w:val="0"/>
          <w:sz w:val="32"/>
          <w:szCs w:val="32"/>
          <w:shd w:val="clear" w:fill="FFFFFF"/>
          <w:lang w:val="en-US" w:eastAsia="zh-CN" w:bidi="ar"/>
        </w:rPr>
        <w:t>（一）统筹推进法治建设工作开展。</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制定法治人社建设工作计划，成立法治工作领导小组，定期召开法治工作专题会议，严格按照湖滨区法治政府建设实施方案开展各项法治建设工作。切实履行法治建设职责。将法制建设工作纳入党组学习，对新出台的政策文件带头解读，切实增强贯彻执行的思想自觉和行动自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630"/>
        </w:tabs>
        <w:kinsoku/>
        <w:wordWrap/>
        <w:overflowPunct/>
        <w:topLinePunct w:val="0"/>
        <w:autoSpaceDE/>
        <w:autoSpaceDN/>
        <w:bidi w:val="0"/>
        <w:adjustRightInd/>
        <w:snapToGrid/>
        <w:spacing w:before="0" w:beforeAutospacing="0" w:afterAutospacing="0" w:line="578" w:lineRule="exact"/>
        <w:ind w:left="0" w:leftChars="0" w:right="0" w:rightChars="0" w:firstLine="421" w:firstLineChars="131"/>
        <w:jc w:val="left"/>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（二）严格依法行政。</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严格按照规定制定规范性文件，认真实施制定程序和后评估事项。今年制定印发了《湖滨区人力资源和社会保障局 湖滨区财政局 湖滨区自然资源局关于对被征地农民参加基本养老保险实施补贴的实施办法》一份规范性文件。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78" w:lineRule="exact"/>
        <w:ind w:left="0" w:leftChars="0" w:right="0" w:rightChars="0" w:firstLine="421" w:firstLineChars="131"/>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（三）公正文明执法。</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推行行政执法三项制度，组织执法岗位人员23人参加行政执法证和换证考试工作，持证率100%。推行行政执法公示制度，将执法信息及时通过企业信用信息公示、双公示平台等予以公示。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78" w:lineRule="exact"/>
        <w:ind w:left="0" w:leftChars="0" w:right="0" w:rightChars="0" w:firstLine="421" w:firstLineChars="131"/>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b/>
          <w:bCs/>
          <w:i w:val="0"/>
          <w:iCs w:val="0"/>
          <w:caps w:val="0"/>
          <w:color w:val="333333"/>
          <w:spacing w:val="0"/>
          <w:kern w:val="0"/>
          <w:sz w:val="32"/>
          <w:szCs w:val="32"/>
          <w:shd w:val="clear" w:fill="FFFFFF"/>
          <w:lang w:val="en-US" w:eastAsia="zh-CN" w:bidi="ar"/>
        </w:rPr>
        <w:t>（四）严格落实“谁执法谁普法”责任制。</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一是</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扎实开展人社普法宣传活动。开展了民法典宣传月、宪法宣传月等各类宣传活动。搭借今年“春风行动”招聘会普及法律知识。2023年以来共发放《劳动合同法》《社会保险法》等相关法律条例350余册，现场接受咨询300余次。二是坚守法治底线。动员全局干部职工牢固树立行政执法工作底线，在执法工作中坚持以事实为依据，以法律为准绳，严格执法程序，切实提高依法执政、依法行政水平。</w:t>
      </w:r>
    </w:p>
    <w:p>
      <w:pPr>
        <w:keepNext w:val="0"/>
        <w:keepLines w:val="0"/>
        <w:pageBreakBefore w:val="0"/>
        <w:widowControl/>
        <w:kinsoku/>
        <w:wordWrap/>
        <w:overflowPunct/>
        <w:topLinePunct w:val="0"/>
        <w:autoSpaceDE/>
        <w:autoSpaceDN/>
        <w:bidi w:val="0"/>
        <w:adjustRightInd/>
        <w:snapToGrid/>
        <w:spacing w:before="0" w:beforeAutospacing="0" w:afterAutospacing="0" w:line="578" w:lineRule="exact"/>
        <w:ind w:left="0" w:leftChars="0" w:right="0" w:rightChars="0" w:firstLine="421" w:firstLineChars="131"/>
        <w:jc w:val="both"/>
        <w:textAlignment w:val="baseline"/>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（五）依法有效化解矛盾纠纷。</w:t>
      </w:r>
      <w:r>
        <w:rPr>
          <w:rFonts w:hint="default" w:ascii="Times New Roman" w:hAnsi="Times New Roman" w:eastAsia="仿宋_GB2312" w:cs="Times New Roman"/>
          <w:b w:val="0"/>
          <w:bCs w:val="0"/>
          <w:color w:val="000000"/>
          <w:kern w:val="21"/>
          <w:sz w:val="32"/>
          <w:szCs w:val="32"/>
          <w:lang w:val="en-US" w:eastAsia="zh-CN"/>
        </w:rPr>
        <w:t>坚持“预防为主、调解为主”的原则，协调受理各类劳动仲裁案件</w:t>
      </w:r>
      <w:r>
        <w:rPr>
          <w:rFonts w:hint="eastAsia" w:ascii="Times New Roman" w:hAnsi="Times New Roman" w:eastAsia="仿宋_GB2312" w:cs="Times New Roman"/>
          <w:b w:val="0"/>
          <w:bCs w:val="0"/>
          <w:color w:val="000000"/>
          <w:kern w:val="21"/>
          <w:sz w:val="32"/>
          <w:szCs w:val="32"/>
          <w:lang w:val="en-US" w:eastAsia="zh-CN"/>
        </w:rPr>
        <w:t>。2023年以来</w:t>
      </w:r>
      <w:r>
        <w:rPr>
          <w:rFonts w:hint="default" w:ascii="Times New Roman" w:hAnsi="Times New Roman" w:eastAsia="仿宋_GB2312" w:cs="Times New Roman"/>
          <w:color w:val="auto"/>
          <w:sz w:val="32"/>
          <w:szCs w:val="32"/>
          <w:lang w:val="en-US" w:eastAsia="zh-CN"/>
        </w:rPr>
        <w:t>共受理仲裁案件</w:t>
      </w:r>
      <w:r>
        <w:rPr>
          <w:rFonts w:hint="eastAsia" w:ascii="Times New Roman" w:hAnsi="Times New Roman" w:eastAsia="仿宋_GB2312" w:cs="Times New Roman"/>
          <w:color w:val="auto"/>
          <w:sz w:val="32"/>
          <w:szCs w:val="32"/>
          <w:lang w:val="en-US" w:eastAsia="zh-CN"/>
        </w:rPr>
        <w:t>受理69</w:t>
      </w:r>
      <w:r>
        <w:rPr>
          <w:rFonts w:hint="default" w:ascii="Times New Roman" w:hAnsi="Times New Roman" w:eastAsia="仿宋_GB2312" w:cs="Times New Roman"/>
          <w:color w:val="auto"/>
          <w:sz w:val="32"/>
          <w:szCs w:val="32"/>
          <w:lang w:val="en-US" w:eastAsia="zh-CN"/>
        </w:rPr>
        <w:t>起，结案</w:t>
      </w:r>
      <w:r>
        <w:rPr>
          <w:rFonts w:hint="eastAsia" w:ascii="Times New Roman" w:hAnsi="Times New Roman" w:eastAsia="仿宋_GB2312" w:cs="Times New Roman"/>
          <w:color w:val="auto"/>
          <w:sz w:val="32"/>
          <w:szCs w:val="32"/>
          <w:lang w:val="en-US" w:eastAsia="zh-CN"/>
        </w:rPr>
        <w:t>69</w:t>
      </w:r>
      <w:r>
        <w:rPr>
          <w:rFonts w:hint="default" w:ascii="Times New Roman" w:hAnsi="Times New Roman" w:eastAsia="仿宋_GB2312" w:cs="Times New Roman"/>
          <w:color w:val="auto"/>
          <w:sz w:val="32"/>
          <w:szCs w:val="32"/>
          <w:lang w:val="en-US" w:eastAsia="zh-CN"/>
        </w:rPr>
        <w:t>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结案率</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其中调解结案</w:t>
      </w:r>
      <w:r>
        <w:rPr>
          <w:rFonts w:hint="eastAsia" w:ascii="Times New Roman" w:hAnsi="Times New Roman" w:eastAsia="仿宋_GB2312" w:cs="Times New Roman"/>
          <w:color w:val="auto"/>
          <w:sz w:val="32"/>
          <w:szCs w:val="32"/>
          <w:lang w:val="en-US" w:eastAsia="zh-CN"/>
        </w:rPr>
        <w:t>54</w:t>
      </w:r>
      <w:r>
        <w:rPr>
          <w:rFonts w:hint="default" w:ascii="Times New Roman" w:hAnsi="Times New Roman" w:eastAsia="仿宋_GB2312" w:cs="Times New Roman"/>
          <w:color w:val="auto"/>
          <w:sz w:val="32"/>
          <w:szCs w:val="32"/>
          <w:lang w:val="en-US" w:eastAsia="zh-CN"/>
        </w:rPr>
        <w:t>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调解率</w:t>
      </w:r>
      <w:r>
        <w:rPr>
          <w:rFonts w:hint="eastAsia" w:ascii="Times New Roman" w:hAnsi="Times New Roman" w:eastAsia="仿宋_GB2312" w:cs="Times New Roman"/>
          <w:color w:val="auto"/>
          <w:sz w:val="32"/>
          <w:szCs w:val="32"/>
          <w:lang w:val="en-US" w:eastAsia="zh-CN"/>
        </w:rPr>
        <w:t>78</w:t>
      </w:r>
      <w:r>
        <w:rPr>
          <w:rFonts w:hint="default" w:ascii="Times New Roman" w:hAnsi="Times New Roman" w:eastAsia="仿宋_GB2312" w:cs="Times New Roman"/>
          <w:color w:val="auto"/>
          <w:sz w:val="32"/>
          <w:szCs w:val="32"/>
          <w:lang w:val="en-US" w:eastAsia="zh-CN"/>
        </w:rPr>
        <w:t>%，裁决结案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起，涉案金额共计</w:t>
      </w:r>
      <w:r>
        <w:rPr>
          <w:rFonts w:hint="eastAsia" w:ascii="Times New Roman" w:hAnsi="Times New Roman" w:eastAsia="仿宋_GB2312" w:cs="Times New Roman"/>
          <w:color w:val="auto"/>
          <w:sz w:val="32"/>
          <w:szCs w:val="32"/>
          <w:lang w:val="en-US" w:eastAsia="zh-CN"/>
        </w:rPr>
        <w:t>560</w:t>
      </w:r>
      <w:r>
        <w:rPr>
          <w:rFonts w:hint="default" w:ascii="Times New Roman" w:hAnsi="Times New Roman" w:eastAsia="仿宋_GB2312" w:cs="Times New Roman"/>
          <w:color w:val="auto"/>
          <w:sz w:val="32"/>
          <w:szCs w:val="32"/>
          <w:lang w:val="en-US" w:eastAsia="zh-CN"/>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78" w:lineRule="exact"/>
        <w:ind w:left="0" w:leftChars="0" w:right="0" w:rightChars="0" w:firstLine="421" w:firstLineChars="131"/>
        <w:jc w:val="left"/>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b/>
          <w:bCs/>
          <w:i w:val="0"/>
          <w:iCs w:val="0"/>
          <w:caps w:val="0"/>
          <w:color w:val="333333"/>
          <w:spacing w:val="0"/>
          <w:kern w:val="0"/>
          <w:sz w:val="32"/>
          <w:szCs w:val="32"/>
          <w:shd w:val="clear" w:fill="FFFFFF"/>
          <w:lang w:val="en-US" w:eastAsia="zh-CN" w:bidi="ar"/>
        </w:rPr>
        <w:t>（六）行政权力制约监督方面。</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认真对待每起被提起行政复议、行政诉讼的案件，从案件事实、法律依据和执法程序上下功夫，确保每起案件事实清楚、法律适用正确、程序合法。同时积极参与应诉，避免出现被撤销、确认违法或责令履行的情况。执行法院生效裁判和行政复议决定。</w:t>
      </w:r>
    </w:p>
    <w:p>
      <w:pPr>
        <w:pStyle w:val="5"/>
        <w:keepNext w:val="0"/>
        <w:keepLines w:val="0"/>
        <w:pageBreakBefore w:val="0"/>
        <w:widowControl/>
        <w:numPr>
          <w:ilvl w:val="0"/>
          <w:numId w:val="0"/>
        </w:numPr>
        <w:kinsoku/>
        <w:wordWrap/>
        <w:overflowPunct/>
        <w:topLinePunct w:val="0"/>
        <w:autoSpaceDE/>
        <w:autoSpaceDN/>
        <w:bidi w:val="0"/>
        <w:adjustRightInd/>
        <w:snapToGrid/>
        <w:spacing w:line="578" w:lineRule="exact"/>
        <w:ind w:right="0" w:rightChars="0" w:firstLine="640" w:firstLineChars="200"/>
        <w:jc w:val="both"/>
        <w:rPr>
          <w:rFonts w:hint="eastAsia" w:ascii="黑体" w:hAnsi="黑体" w:eastAsia="黑体" w:cs="黑体"/>
          <w:b w:val="0"/>
          <w:bCs w:val="0"/>
          <w:color w:val="000000"/>
          <w:kern w:val="21"/>
          <w:sz w:val="32"/>
          <w:szCs w:val="32"/>
          <w:lang w:val="en-US" w:eastAsia="zh-CN" w:bidi="ar-SA"/>
        </w:rPr>
      </w:pPr>
      <w:r>
        <w:rPr>
          <w:rFonts w:hint="eastAsia" w:ascii="黑体" w:hAnsi="黑体" w:eastAsia="黑体" w:cs="黑体"/>
          <w:b w:val="0"/>
          <w:bCs w:val="0"/>
          <w:color w:val="000000"/>
          <w:kern w:val="21"/>
          <w:sz w:val="32"/>
          <w:szCs w:val="32"/>
          <w:lang w:val="en-US" w:eastAsia="zh-CN" w:bidi="ar-SA"/>
        </w:rPr>
        <w:t>二、行政执法完成情况</w:t>
      </w:r>
    </w:p>
    <w:p>
      <w:pPr>
        <w:keepNext w:val="0"/>
        <w:keepLines w:val="0"/>
        <w:pageBreakBefore w:val="0"/>
        <w:widowControl/>
        <w:kinsoku/>
        <w:wordWrap/>
        <w:overflowPunct/>
        <w:topLinePunct w:val="0"/>
        <w:autoSpaceDE/>
        <w:autoSpaceDN/>
        <w:bidi w:val="0"/>
        <w:adjustRightInd/>
        <w:snapToGrid/>
        <w:spacing w:before="0" w:beforeAutospacing="0" w:afterAutospacing="0" w:line="578" w:lineRule="exact"/>
        <w:ind w:left="0" w:leftChars="0" w:right="0" w:rightChars="0" w:firstLine="421" w:firstLineChars="131"/>
        <w:jc w:val="both"/>
        <w:textAlignment w:val="baseline"/>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 w:hAnsi="楷体" w:eastAsia="楷体" w:cs="楷体"/>
          <w:b/>
          <w:bCs/>
          <w:color w:val="000000" w:themeColor="text1"/>
          <w:kern w:val="21"/>
          <w:sz w:val="32"/>
          <w:szCs w:val="32"/>
          <w:lang w:val="en-US" w:eastAsia="zh-CN" w:bidi="ar-SA"/>
          <w14:textFill>
            <w14:solidFill>
              <w14:schemeClr w14:val="tx1"/>
            </w14:solidFill>
          </w14:textFill>
        </w:rPr>
        <w:t>（一）全面开展劳动监察年检工作。</w:t>
      </w:r>
      <w:r>
        <w:rPr>
          <w:rFonts w:hint="eastAsia" w:ascii="仿宋_GB2312" w:hAnsi="仿宋_GB2312" w:eastAsia="仿宋_GB2312" w:cs="仿宋_GB2312"/>
          <w:b w:val="0"/>
          <w:bCs w:val="0"/>
          <w:color w:val="000000" w:themeColor="text1"/>
          <w:kern w:val="21"/>
          <w:sz w:val="32"/>
          <w:szCs w:val="32"/>
          <w:lang w:val="en-US" w:eastAsia="zh-CN" w:bidi="ar-SA"/>
          <w14:textFill>
            <w14:solidFill>
              <w14:schemeClr w14:val="tx1"/>
            </w14:solidFill>
          </w14:textFill>
        </w:rPr>
        <w:t>紧盯欠薪易发多发行业、企业，在关键时间节点提前谋划、周密安排，部署开展劳动监察年检、根治欠薪冬季行动，检查用人单位101家，涉及劳动者4149人，引导企业规范用工，共创和谐劳动关系。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1" w:firstLineChars="131"/>
        <w:textAlignment w:val="auto"/>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 w:hAnsi="楷体" w:eastAsia="楷体" w:cs="楷体"/>
          <w:b/>
          <w:bCs w:val="0"/>
          <w:color w:val="000000" w:themeColor="text1"/>
          <w:sz w:val="32"/>
          <w:szCs w:val="32"/>
          <w:lang w:val="en-US" w:eastAsia="zh-CN"/>
          <w14:textFill>
            <w14:solidFill>
              <w14:schemeClr w14:val="tx1"/>
            </w14:solidFill>
          </w14:textFill>
        </w:rPr>
        <w:t>（二）</w:t>
      </w:r>
      <w:r>
        <w:rPr>
          <w:rFonts w:hint="eastAsia" w:ascii="楷体" w:hAnsi="楷体" w:eastAsia="楷体" w:cs="楷体"/>
          <w:b/>
          <w:bCs w:val="0"/>
          <w:color w:val="000000" w:themeColor="text1"/>
          <w:kern w:val="21"/>
          <w:sz w:val="32"/>
          <w:szCs w:val="32"/>
          <w:lang w:val="en-US" w:eastAsia="zh-CN"/>
          <w14:textFill>
            <w14:solidFill>
              <w14:schemeClr w14:val="tx1"/>
            </w14:solidFill>
          </w14:textFill>
        </w:rPr>
        <w:t>积极推进农民工工资支付工作。</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2023年通过全国欠薪线索反映平台、省监管平台、“12345政府服务热线”和信访等各渠道受理欠薪举报投诉案件，办结926件，涉及劳动者1693人，涉及金额1800余万元，办结率达98%以上；将2件涉嫌拒不支付劳动报酬罪案件移送公安机关侦办，打击恶意讨薪，维护社会公平正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21" w:firstLineChars="131"/>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sz w:val="32"/>
          <w:szCs w:val="32"/>
          <w:shd w:val="clear" w:fill="FFFFFF"/>
          <w:lang w:eastAsia="zh-CN"/>
        </w:rPr>
        <w:t>（</w:t>
      </w:r>
      <w:r>
        <w:rPr>
          <w:rFonts w:hint="eastAsia" w:ascii="楷体" w:hAnsi="楷体" w:eastAsia="楷体" w:cs="楷体"/>
          <w:b/>
          <w:bCs/>
          <w:i w:val="0"/>
          <w:iCs w:val="0"/>
          <w:caps w:val="0"/>
          <w:color w:val="000000"/>
          <w:spacing w:val="0"/>
          <w:sz w:val="32"/>
          <w:szCs w:val="32"/>
          <w:shd w:val="clear" w:fill="FFFFFF"/>
          <w:lang w:val="en-US" w:eastAsia="zh-CN"/>
        </w:rPr>
        <w:t>三</w:t>
      </w:r>
      <w:r>
        <w:rPr>
          <w:rFonts w:hint="eastAsia" w:ascii="楷体" w:hAnsi="楷体" w:eastAsia="楷体" w:cs="楷体"/>
          <w:b/>
          <w:bCs/>
          <w:i w:val="0"/>
          <w:iCs w:val="0"/>
          <w:caps w:val="0"/>
          <w:color w:val="000000"/>
          <w:spacing w:val="0"/>
          <w:sz w:val="32"/>
          <w:szCs w:val="32"/>
          <w:shd w:val="clear" w:fill="FFFFFF"/>
          <w:lang w:eastAsia="zh-CN"/>
        </w:rPr>
        <w:t>）</w:t>
      </w:r>
      <w:r>
        <w:rPr>
          <w:rFonts w:hint="eastAsia" w:ascii="楷体" w:hAnsi="楷体" w:eastAsia="楷体" w:cs="楷体"/>
          <w:b/>
          <w:bCs/>
          <w:i w:val="0"/>
          <w:iCs w:val="0"/>
          <w:caps w:val="0"/>
          <w:color w:val="000000"/>
          <w:spacing w:val="0"/>
          <w:kern w:val="0"/>
          <w:sz w:val="32"/>
          <w:szCs w:val="32"/>
          <w:shd w:val="clear" w:fill="FFFFFF"/>
          <w:lang w:val="en-US" w:eastAsia="zh-CN" w:bidi="ar"/>
        </w:rPr>
        <w:t>动态调整“双随机”系统中“两库一单”的信息。</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2023年制定监管计划，及时录入检查信息。坚持主动监管与跨部门监管并行的监管方式。完成跨部门抽查任务2次，本部门抽查任务2次，在检查后20日内已将本部门任务和联合抽查的结果录入“国家企业信用信息公示系统”并向社会公布。</w:t>
      </w:r>
    </w:p>
    <w:p>
      <w:pPr>
        <w:keepNext w:val="0"/>
        <w:keepLines w:val="0"/>
        <w:pageBreakBefore w:val="0"/>
        <w:kinsoku/>
        <w:wordWrap/>
        <w:overflowPunct/>
        <w:topLinePunct w:val="0"/>
        <w:autoSpaceDE/>
        <w:autoSpaceDN/>
        <w:bidi w:val="0"/>
        <w:adjustRightInd/>
        <w:snapToGrid/>
        <w:spacing w:line="578" w:lineRule="exact"/>
        <w:ind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楷体" w:hAnsi="楷体" w:eastAsia="楷体" w:cs="楷体"/>
          <w:b/>
          <w:bCs/>
          <w:sz w:val="32"/>
          <w:szCs w:val="32"/>
          <w:lang w:val="en-US" w:eastAsia="zh-CN"/>
        </w:rPr>
        <w:t>（四）行政许可审批</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color w:val="000000"/>
          <w:kern w:val="2"/>
          <w:sz w:val="32"/>
          <w:szCs w:val="32"/>
          <w:lang w:val="en-US" w:eastAsia="zh-CN" w:bidi="ar-SA"/>
        </w:rPr>
        <w:t>2023年7宗，3宗实行不定时和综合计算工时工作制审批。2宗人力资源服务行政许可审批，1宗劳务派遣服务行政许可备案。</w:t>
      </w:r>
    </w:p>
    <w:p>
      <w:pPr>
        <w:keepNext w:val="0"/>
        <w:keepLines w:val="0"/>
        <w:pageBreakBefore w:val="0"/>
        <w:kinsoku/>
        <w:wordWrap/>
        <w:overflowPunct/>
        <w:topLinePunct w:val="0"/>
        <w:autoSpaceDE/>
        <w:autoSpaceDN/>
        <w:bidi w:val="0"/>
        <w:adjustRightInd/>
        <w:snapToGrid/>
        <w:spacing w:line="578" w:lineRule="exact"/>
        <w:ind w:right="0" w:rightChars="0" w:firstLine="643"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楷体" w:hAnsi="楷体" w:eastAsia="楷体" w:cs="楷体"/>
          <w:b/>
          <w:bCs/>
          <w:sz w:val="32"/>
          <w:szCs w:val="32"/>
          <w:lang w:val="en-US" w:eastAsia="zh-CN"/>
        </w:rPr>
        <w:t>（五）行政确认。</w:t>
      </w:r>
      <w:r>
        <w:rPr>
          <w:rFonts w:hint="eastAsia" w:ascii="仿宋_GB2312" w:hAnsi="仿宋_GB2312" w:eastAsia="仿宋_GB2312" w:cs="仿宋_GB2312"/>
          <w:color w:val="000000"/>
          <w:kern w:val="2"/>
          <w:sz w:val="32"/>
          <w:szCs w:val="32"/>
          <w:lang w:val="en-US" w:eastAsia="zh-CN" w:bidi="ar-SA"/>
        </w:rPr>
        <w:t>截至目前工伤认定50起，工亡5起。</w:t>
      </w:r>
    </w:p>
    <w:p>
      <w:pPr>
        <w:pStyle w:val="2"/>
        <w:keepNext w:val="0"/>
        <w:keepLines w:val="0"/>
        <w:pageBreakBefore w:val="0"/>
        <w:numPr>
          <w:ilvl w:val="0"/>
          <w:numId w:val="1"/>
        </w:numPr>
        <w:kinsoku/>
        <w:wordWrap/>
        <w:overflowPunct/>
        <w:topLinePunct w:val="0"/>
        <w:autoSpaceDE/>
        <w:autoSpaceDN/>
        <w:bidi w:val="0"/>
        <w:adjustRightInd/>
        <w:snapToGrid/>
        <w:spacing w:after="0" w:afterLines="0" w:line="578" w:lineRule="exact"/>
        <w:ind w:left="0"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存在问题</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78" w:lineRule="exact"/>
        <w:ind w:right="0" w:rightChars="0" w:firstLine="640" w:firstLineChars="200"/>
        <w:textAlignment w:val="auto"/>
        <w:rPr>
          <w:rFonts w:hint="default" w:ascii="仿宋_GB2312" w:hAnsi="仿宋_GB2312" w:eastAsia="仿宋_GB2312" w:cs="仿宋_GB2312"/>
          <w:i w:val="0"/>
          <w:iCs w:val="0"/>
          <w:caps w:val="0"/>
          <w:color w:val="333333"/>
          <w:spacing w:val="0"/>
          <w:sz w:val="32"/>
          <w:szCs w:val="32"/>
          <w:lang w:val="en-US"/>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法治观念法治意识仍需增强，缺乏运用法律的思维和方法解决法律问题的惯性、行政执法队伍的业务水平和素质仍需提高。今后将继续加强执法人员业务系统培训、法治思维培训，提升执法人员业务水平和综合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78" w:lineRule="exact"/>
        <w:ind w:left="0" w:right="0" w:rightChars="0" w:firstLine="640"/>
        <w:jc w:val="both"/>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三</w:t>
      </w:r>
      <w:r>
        <w:rPr>
          <w:rFonts w:hint="eastAsia" w:ascii="黑体" w:hAnsi="黑体" w:eastAsia="黑体" w:cs="黑体"/>
          <w:b w:val="0"/>
          <w:bCs w:val="0"/>
          <w:i w:val="0"/>
          <w:iCs w:val="0"/>
          <w:caps w:val="0"/>
          <w:color w:val="000000"/>
          <w:spacing w:val="0"/>
          <w:sz w:val="32"/>
          <w:szCs w:val="32"/>
          <w:shd w:val="clear" w:fill="FFFFFF"/>
        </w:rPr>
        <w:t>、</w:t>
      </w:r>
      <w:r>
        <w:rPr>
          <w:rFonts w:hint="eastAsia" w:ascii="黑体" w:hAnsi="黑体" w:eastAsia="黑体" w:cs="黑体"/>
          <w:b w:val="0"/>
          <w:bCs w:val="0"/>
          <w:i w:val="0"/>
          <w:iCs w:val="0"/>
          <w:caps w:val="0"/>
          <w:color w:val="000000"/>
          <w:spacing w:val="0"/>
          <w:sz w:val="32"/>
          <w:szCs w:val="32"/>
          <w:shd w:val="clear" w:fill="FFFFFF"/>
          <w:lang w:val="en-US" w:eastAsia="zh-CN"/>
        </w:rPr>
        <w:t>下步打算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78" w:lineRule="exact"/>
        <w:ind w:left="0" w:right="0" w:rightChars="0" w:firstLine="640"/>
        <w:jc w:val="both"/>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（一）强化职能履行，实现依法行政。</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全面落实依法行政的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78" w:lineRule="exact"/>
        <w:ind w:right="0" w:rightChars="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各项制度，加大行政争议案件的调解、和解力度。规范行政执法程序，严格执行行政执法人员资格和证件管理制度。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78" w:lineRule="exact"/>
        <w:ind w:left="0" w:leftChars="0" w:right="0" w:rightChars="0" w:firstLine="421" w:firstLineChars="131"/>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（二）强化执法规范，推进三项制度。</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以行政执法三项制度为重点，不断提高劳动保障监察队伍、窗口经办队伍、工伤认定队伍和劳动人事争议仲裁员队伍的政策业务和实际操作水平。完善失信惩戒法律制度和工作机制，强化规范信用约束，积极运用说服教育、劝导示范、警告告诫、指导约谈等非强制执法手段，做到宽严相济、法理相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78" w:lineRule="exact"/>
        <w:ind w:left="0" w:leftChars="0" w:right="0" w:rightChars="0" w:firstLine="421" w:firstLineChars="131"/>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b/>
          <w:bCs/>
          <w:i w:val="0"/>
          <w:iCs w:val="0"/>
          <w:caps w:val="0"/>
          <w:color w:val="000000"/>
          <w:spacing w:val="0"/>
          <w:kern w:val="0"/>
          <w:sz w:val="32"/>
          <w:szCs w:val="32"/>
          <w:shd w:val="clear" w:fill="FFFFFF"/>
          <w:lang w:val="en-US" w:eastAsia="zh-CN" w:bidi="ar"/>
        </w:rPr>
        <w:t>（三）强化普法力度，提升普法效果。</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严格落实“谁执法谁普法”责任制，将普法工作摆在部门工作的重要位置，纳入工作总体布局，围绕人民群众关心的热点难点问题，运用互联网等手段提升普法的精准性、有效性。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78" w:lineRule="exact"/>
        <w:ind w:left="0" w:leftChars="0" w:right="0" w:rightChars="0" w:firstLine="421" w:firstLineChars="131"/>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（四）继续深化“互联网+政务服务”工作。</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深入推进“一网、一门、一次”改革，围绕“人社服务快办行动”“互联网+政务服务”提升行动等工作，进一步推进就近办、自助办、全程网办抓深做实扩面。</w:t>
      </w:r>
    </w:p>
    <w:p>
      <w:pPr>
        <w:pStyle w:val="5"/>
        <w:keepNext w:val="0"/>
        <w:keepLines w:val="0"/>
        <w:pageBreakBefore w:val="0"/>
        <w:kinsoku/>
        <w:wordWrap/>
        <w:overflowPunct/>
        <w:topLinePunct w:val="0"/>
        <w:autoSpaceDE/>
        <w:autoSpaceDN/>
        <w:bidi w:val="0"/>
        <w:adjustRightInd/>
        <w:snapToGrid/>
        <w:spacing w:line="578" w:lineRule="exact"/>
        <w:ind w:right="0" w:rightChars="0"/>
        <w:textAlignment w:val="auto"/>
        <w:rPr>
          <w:rFonts w:hint="eastAsia"/>
          <w:lang w:val="en-US" w:eastAsia="zh-CN"/>
        </w:rPr>
      </w:pP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960" w:firstLineChars="300"/>
        <w:jc w:val="center"/>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AC79A"/>
    <w:multiLevelType w:val="singleLevel"/>
    <w:tmpl w:val="776AC7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NzIwYWY4YmVkMzk1ZjJlNzA1ZTA0OGY4MWJhMDAifQ=="/>
  </w:docVars>
  <w:rsids>
    <w:rsidRoot w:val="49BA420F"/>
    <w:rsid w:val="019A49D4"/>
    <w:rsid w:val="037E6D7C"/>
    <w:rsid w:val="05D22B64"/>
    <w:rsid w:val="08AE3A03"/>
    <w:rsid w:val="08B529BD"/>
    <w:rsid w:val="08E9737B"/>
    <w:rsid w:val="09D5345C"/>
    <w:rsid w:val="0A827F54"/>
    <w:rsid w:val="0B7D7781"/>
    <w:rsid w:val="0CFD203A"/>
    <w:rsid w:val="0E460C3F"/>
    <w:rsid w:val="0F4402D6"/>
    <w:rsid w:val="101051ED"/>
    <w:rsid w:val="10EB718C"/>
    <w:rsid w:val="11DB53FF"/>
    <w:rsid w:val="12ED7771"/>
    <w:rsid w:val="133438E9"/>
    <w:rsid w:val="16810CFF"/>
    <w:rsid w:val="19972F54"/>
    <w:rsid w:val="1A9609E5"/>
    <w:rsid w:val="1DCB6FB2"/>
    <w:rsid w:val="1E967206"/>
    <w:rsid w:val="20FA4872"/>
    <w:rsid w:val="24F02E9A"/>
    <w:rsid w:val="27207FB4"/>
    <w:rsid w:val="28A16ED3"/>
    <w:rsid w:val="2A2B6011"/>
    <w:rsid w:val="2AE2704B"/>
    <w:rsid w:val="2B2C172B"/>
    <w:rsid w:val="2B32128D"/>
    <w:rsid w:val="2C073156"/>
    <w:rsid w:val="2CDF446E"/>
    <w:rsid w:val="2CFC7EE5"/>
    <w:rsid w:val="2D5D020B"/>
    <w:rsid w:val="2ED9515C"/>
    <w:rsid w:val="2FF32C6B"/>
    <w:rsid w:val="30880600"/>
    <w:rsid w:val="325B4596"/>
    <w:rsid w:val="32A93554"/>
    <w:rsid w:val="33D46D14"/>
    <w:rsid w:val="34425A0E"/>
    <w:rsid w:val="362644E1"/>
    <w:rsid w:val="385D5421"/>
    <w:rsid w:val="38683569"/>
    <w:rsid w:val="3AC442AD"/>
    <w:rsid w:val="3B8701AA"/>
    <w:rsid w:val="3C575DCE"/>
    <w:rsid w:val="3CFE4B4D"/>
    <w:rsid w:val="3D2F28A7"/>
    <w:rsid w:val="3E661B20"/>
    <w:rsid w:val="403E60B6"/>
    <w:rsid w:val="41353290"/>
    <w:rsid w:val="416D1CBD"/>
    <w:rsid w:val="42613503"/>
    <w:rsid w:val="429477FF"/>
    <w:rsid w:val="44CE40B2"/>
    <w:rsid w:val="45BC58AB"/>
    <w:rsid w:val="46A973DC"/>
    <w:rsid w:val="49BA420F"/>
    <w:rsid w:val="4C6E30A8"/>
    <w:rsid w:val="4CF01A2F"/>
    <w:rsid w:val="4F687423"/>
    <w:rsid w:val="50AF4E94"/>
    <w:rsid w:val="522734D8"/>
    <w:rsid w:val="54031810"/>
    <w:rsid w:val="595C6098"/>
    <w:rsid w:val="59AC76CF"/>
    <w:rsid w:val="5A7E4141"/>
    <w:rsid w:val="5ACE2385"/>
    <w:rsid w:val="5B5C3008"/>
    <w:rsid w:val="5C1D3D60"/>
    <w:rsid w:val="5E1E3E1C"/>
    <w:rsid w:val="5E6B60EF"/>
    <w:rsid w:val="5F1469FC"/>
    <w:rsid w:val="5FD64A7F"/>
    <w:rsid w:val="607E307A"/>
    <w:rsid w:val="62124CF6"/>
    <w:rsid w:val="63305D9C"/>
    <w:rsid w:val="63437B17"/>
    <w:rsid w:val="63A5515E"/>
    <w:rsid w:val="63A90E3B"/>
    <w:rsid w:val="67B65795"/>
    <w:rsid w:val="68071BA7"/>
    <w:rsid w:val="6C2C42D2"/>
    <w:rsid w:val="6CD2334E"/>
    <w:rsid w:val="6DF901E4"/>
    <w:rsid w:val="6E8C6205"/>
    <w:rsid w:val="6FDD2017"/>
    <w:rsid w:val="7084648B"/>
    <w:rsid w:val="70BC5C25"/>
    <w:rsid w:val="71080335"/>
    <w:rsid w:val="71622AE6"/>
    <w:rsid w:val="73A36D95"/>
    <w:rsid w:val="73B2330F"/>
    <w:rsid w:val="74AF3077"/>
    <w:rsid w:val="752E2E69"/>
    <w:rsid w:val="761E2EDE"/>
    <w:rsid w:val="786E4431"/>
    <w:rsid w:val="78CB70B7"/>
    <w:rsid w:val="79DE4E5E"/>
    <w:rsid w:val="7A545120"/>
    <w:rsid w:val="7B801DEC"/>
    <w:rsid w:val="7C7D1DA8"/>
    <w:rsid w:val="7E537A07"/>
    <w:rsid w:val="7E797F46"/>
    <w:rsid w:val="7F2D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Normal Indent"/>
    <w:basedOn w:val="1"/>
    <w:next w:val="1"/>
    <w:qFormat/>
    <w:uiPriority w:val="0"/>
    <w:pPr>
      <w:ind w:firstLine="420" w:firstLineChars="200"/>
    </w:pPr>
  </w:style>
  <w:style w:type="paragraph" w:styleId="5">
    <w:name w:val="Body Text"/>
    <w:basedOn w:val="1"/>
    <w:next w:val="1"/>
    <w:autoRedefine/>
    <w:qFormat/>
    <w:uiPriority w:val="0"/>
  </w:style>
  <w:style w:type="paragraph" w:styleId="6">
    <w:name w:val="Normal (Web)"/>
    <w:basedOn w:val="1"/>
    <w:autoRedefine/>
    <w:qFormat/>
    <w:uiPriority w:val="0"/>
    <w:rPr>
      <w:sz w:val="24"/>
    </w:rPr>
  </w:style>
  <w:style w:type="paragraph" w:customStyle="1" w:styleId="9">
    <w:name w:val="正文首行缩进1"/>
    <w:basedOn w:val="10"/>
    <w:autoRedefine/>
    <w:qFormat/>
    <w:uiPriority w:val="0"/>
    <w:pPr>
      <w:spacing w:line="560" w:lineRule="exact"/>
      <w:ind w:firstLine="721" w:firstLineChars="200"/>
    </w:pPr>
    <w:rPr>
      <w:rFonts w:ascii="仿宋_GB2312" w:eastAsia="仿宋_GB2312"/>
      <w:sz w:val="32"/>
    </w:rPr>
  </w:style>
  <w:style w:type="paragraph" w:customStyle="1" w:styleId="10">
    <w:name w:val="正文文本1"/>
    <w:basedOn w:val="1"/>
    <w:autoRedefine/>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2593</Words>
  <Characters>2712</Characters>
  <Lines>0</Lines>
  <Paragraphs>0</Paragraphs>
  <TotalTime>3</TotalTime>
  <ScaleCrop>false</ScaleCrop>
  <LinksUpToDate>false</LinksUpToDate>
  <CharactersWithSpaces>2742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2023-03-27T02:07:00Z</dcterms:created>
  <dc:creator>Administrator</dc:creator>
  <cp:lastModifiedBy>克克</cp:lastModifiedBy>
  <cp:lastPrinted>2023-12-20T01:28:00Z</cp:lastPrinted>
  <dcterms:modified xsi:type="dcterms:W3CDTF">2024-03-01T08:32:11Z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6407CBCD390140938E2B094AA058FAF0_13</vt:lpwstr>
  </property>
</Properties>
</file>