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湖滨区审计局</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right="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关于</w:t>
      </w:r>
      <w:r>
        <w:rPr>
          <w:rFonts w:hint="default" w:ascii="Times New Roman" w:hAnsi="Times New Roman" w:eastAsia="方正小标宋简体" w:cs="Times New Roman"/>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US" w:eastAsia="zh-CN"/>
        </w:rPr>
        <w:t>年法治政府建设情况的报告</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32"/>
        </w:rPr>
        <w:t>2023年是全面贯彻党的二十大精神的开局之年，也是审计机关成立40周年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过去一年中，</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在区委区政府的坚强领导下，区审计局坚持以习近平新时代中国特色社会主义思想为指导，深入学习贯彻党的二十大精神，全面贯彻习近平法治思想和习近平总书记在二十届中央审计委员会第一次会议上的讲话精神，按照《湖滨区2023年度法治湖滨（政府）建设工作安排》要求，认真组织、强化领导、明确责任、狠抓落实，确保法治建设工作与审计工作有效结合，以法治建设促进审计工作有序开展，充分发挥审计在推进国家治理体系和治理能力现代化中的职能作用</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现将我局承担的法治政府建设工作汇报如下：</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黑体" w:hAnsi="黑体" w:eastAsia="黑体" w:cs="黑体"/>
          <w:b w:val="0"/>
          <w:bCs w:val="0"/>
          <w:i w:val="0"/>
          <w:iCs w:val="0"/>
          <w:caps w:val="0"/>
          <w:color w:val="auto"/>
          <w:spacing w:val="0"/>
          <w:sz w:val="32"/>
          <w:szCs w:val="32"/>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u w:val="none"/>
          <w:shd w:val="clear" w:color="auto" w:fill="FFFFFF"/>
          <w:lang w:val="en-US" w:eastAsia="zh-CN"/>
        </w:rPr>
        <w:t>一、</w:t>
      </w:r>
      <w:r>
        <w:rPr>
          <w:rFonts w:hint="default" w:ascii="黑体" w:hAnsi="黑体" w:eastAsia="黑体" w:cs="黑体"/>
          <w:b w:val="0"/>
          <w:bCs w:val="0"/>
          <w:i w:val="0"/>
          <w:iCs w:val="0"/>
          <w:caps w:val="0"/>
          <w:color w:val="auto"/>
          <w:spacing w:val="0"/>
          <w:sz w:val="32"/>
          <w:szCs w:val="32"/>
          <w:u w:val="none"/>
          <w:shd w:val="clear" w:color="auto" w:fill="FFFFFF"/>
          <w:lang w:val="en-US" w:eastAsia="zh-CN"/>
        </w:rPr>
        <w:t>202</w:t>
      </w:r>
      <w:r>
        <w:rPr>
          <w:rFonts w:hint="eastAsia" w:ascii="黑体" w:hAnsi="黑体" w:eastAsia="黑体" w:cs="黑体"/>
          <w:b w:val="0"/>
          <w:bCs w:val="0"/>
          <w:i w:val="0"/>
          <w:iCs w:val="0"/>
          <w:caps w:val="0"/>
          <w:color w:val="auto"/>
          <w:spacing w:val="0"/>
          <w:sz w:val="32"/>
          <w:szCs w:val="32"/>
          <w:u w:val="none"/>
          <w:shd w:val="clear" w:color="auto" w:fill="FFFFFF"/>
          <w:lang w:val="en-US" w:eastAsia="zh-CN"/>
        </w:rPr>
        <w:t>3年度推进法治政府建设的主要举措和成效</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color w:val="auto"/>
          <w:sz w:val="32"/>
          <w:szCs w:val="32"/>
          <w:lang w:val="en-US" w:eastAsia="zh-CN"/>
        </w:rPr>
        <w:t>（一）强化组织领导，压实工作责任。</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一是</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制定《湖滨区审计局法治政府建设示范区创建工作方案》</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成立了</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由</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局党组书记、局长任</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组长，</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各党组成员、副局长</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为副组长，各股室负责人为成员的工作领导小组，负责指导部署全局推进法治政府建设各项工作开展，为深入推进法治政府建设强化审计监督提供了有力的组织保障。二是确定法治政府建设工作目标。明确推进法治政府建设工作目标、任务、内容以及重点工作，落实推进法治政府建设工作日常事务</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为我局深入推进法治政府建设强化审计监督提出了明确方向和目标。</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US" w:eastAsia="zh-CN"/>
        </w:rPr>
        <w:t>加强</w:t>
      </w:r>
      <w:r>
        <w:rPr>
          <w:rFonts w:hint="default" w:ascii="楷体_GB2312" w:hAnsi="楷体_GB2312" w:eastAsia="楷体_GB2312" w:cs="楷体_GB2312"/>
          <w:color w:val="auto"/>
          <w:sz w:val="32"/>
          <w:szCs w:val="32"/>
          <w:lang w:val="en-US" w:eastAsia="zh-CN"/>
        </w:rPr>
        <w:t>学习培训，不断提高审计人员的法律素养和业务水平。</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一是加强理论学习，推动审计队伍和文化建设。通过党组理论学习中心组、支部主题党日等载体多层次、多角度学习习近平法治思想、宪法、党内法规和《中华人民共和国审计法》，推动领导干部带头学、审计干部全员学，深刻学习领会习近平法治思想的重大意义、丰富内涵、精神实质和实践要求，始终坚持用法律来武装头脑、指导实践、推动审计工作。二是持续加大审计人员法治教育培训力度，鼓励职工干部自主学习相关法律知识，积极参与</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宪法知识考试、</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执法证考试，全体审计人员执法证考试合格率和通过率均为100%。</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（三）加强普法宣传，</w:t>
      </w:r>
      <w:r>
        <w:rPr>
          <w:rFonts w:hint="eastAsia" w:ascii="楷体_GB2312" w:hAnsi="楷体_GB2312" w:eastAsia="楷体_GB2312" w:cs="楷体_GB2312"/>
          <w:color w:val="auto"/>
          <w:sz w:val="32"/>
          <w:szCs w:val="32"/>
          <w:lang w:val="en-US" w:eastAsia="zh-CN"/>
        </w:rPr>
        <w:t>提升法治</w:t>
      </w:r>
      <w:r>
        <w:rPr>
          <w:rFonts w:hint="default" w:ascii="楷体_GB2312" w:hAnsi="楷体_GB2312" w:eastAsia="楷体_GB2312" w:cs="楷体_GB2312"/>
          <w:color w:val="auto"/>
          <w:sz w:val="32"/>
          <w:szCs w:val="32"/>
          <w:lang w:val="en-US" w:eastAsia="zh-CN"/>
        </w:rPr>
        <w:t>意识。</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一是建立《“谁执法谁普法”普法责任清单》，</w:t>
      </w:r>
      <w:r>
        <w:rPr>
          <w:rFonts w:hint="eastAsia" w:ascii="仿宋_GB2312" w:hAnsi="仿宋_GB2312" w:eastAsia="仿宋_GB2312" w:cs="仿宋_GB2312"/>
          <w:color w:val="auto"/>
          <w:sz w:val="32"/>
          <w:szCs w:val="32"/>
          <w:lang w:val="en-US" w:eastAsia="zh-CN"/>
        </w:rPr>
        <w:t>明确普法工作的目标和任务，提高普法工作的效率和质量，推动社会法治建设</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；二是</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多措并举开展审计普法工作</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提升依法审计和普法工作实效</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。依托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“三月法治宣传月”“</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4·15</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全民国家安全教育日”“民法典宣传月”“宪法宣传周”</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等活动，推进普法进机关、进社区、进乡村，采取观看专题节目、组织宪法宣誓及宪法知识考试、悬挂横幅、发放宣传单等多种方式开展普法活动，增强群众运用法律手段维护合法权益、积极化解矛盾纠纷、自觉依法办事的意识；三是</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结合审计项目，扩大法治宣传范围。坚持借用审计进点会打通普法“最后一公里”，将普法活动延伸至审计一线，结合具体审计项目，强化边审计边普法的工作理念，深入到被审计单位，有针对性开展法治宣传活动</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使审计普法融入审计实施全过程。</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四</w:t>
      </w:r>
      <w:r>
        <w:rPr>
          <w:rFonts w:hint="default" w:ascii="楷体_GB2312" w:hAnsi="楷体_GB2312" w:eastAsia="楷体_GB2312" w:cs="楷体_GB2312"/>
          <w:color w:val="auto"/>
          <w:sz w:val="32"/>
          <w:szCs w:val="32"/>
          <w:lang w:val="en-US" w:eastAsia="zh-CN"/>
        </w:rPr>
        <w:t>）依法全面履行审计职能</w:t>
      </w:r>
      <w:r>
        <w:rPr>
          <w:rFonts w:hint="eastAsia" w:ascii="楷体_GB2312" w:hAnsi="楷体_GB2312" w:eastAsia="楷体_GB2312" w:cs="楷体_GB2312"/>
          <w:color w:val="auto"/>
          <w:sz w:val="32"/>
          <w:szCs w:val="32"/>
          <w:lang w:val="en-US" w:eastAsia="zh-CN"/>
        </w:rPr>
        <w:t>，确保审计工作质量</w:t>
      </w:r>
      <w:r>
        <w:rPr>
          <w:rFonts w:hint="default"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一是建章立制划好</w:t>
      </w:r>
      <w:r>
        <w:rPr>
          <w:rFonts w:hint="eastAsia" w:ascii="仿宋_GB2312" w:hAnsi="仿宋_GB2312" w:eastAsia="仿宋_GB2312" w:cs="仿宋_GB2312"/>
          <w:color w:val="auto"/>
          <w:sz w:val="32"/>
          <w:szCs w:val="32"/>
          <w:lang w:val="en-US" w:eastAsia="zh-CN"/>
        </w:rPr>
        <w:t>“标尺线”</w:t>
      </w:r>
      <w:r>
        <w:rPr>
          <w:rFonts w:hint="default" w:ascii="Times New Roman" w:hAnsi="Times New Roman" w:eastAsia="仿宋_GB2312" w:cs="Times New Roman"/>
          <w:color w:val="auto"/>
          <w:sz w:val="32"/>
          <w:szCs w:val="32"/>
          <w:lang w:val="en-US" w:eastAsia="zh-CN"/>
        </w:rPr>
        <w:t>，依照审计署、省审计厅及市审计局权责清单，调整完善并及时向社会公开湖滨区审计局权责清单，明确法律依据、实施主体、责任方式等，明确权力界限和程序；二是严格依法全面履行审计职能，</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严格</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按照</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《中华人民共和国审计法</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中华人民共和国审计法实施条例》和《中华人民共和国国家审计准则》及遵循《审计执法程序操作规范（试行）》等的相关规定，制定年度审计项目计划并经区委审计委员会研究审议通过，做到在法定职责范围内开展审计工作，行使权力，不越权越位；坚持按法定步骤、时间和形式要求，开展审计工作，严格把关审计项目计划管理、审计实施、业务复核等各环节；严格按审计文书格式撰写审计报告，做到证据充分、数据真实、语言精练，引用法律法规恰当，定性准确。2023年以来，共开展计划项目16项；交办配合事项4项；审计（调查）47个单位；延伸审计73个单位；审计揭示问题44个；涉及金额3134.53万元；促进配套拨付、增收节支资金126.41万元；审计报告提出审计建议44条。</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黑体" w:hAnsi="黑体" w:eastAsia="黑体" w:cs="黑体"/>
          <w:b w:val="0"/>
          <w:bCs w:val="0"/>
          <w:i w:val="0"/>
          <w:iCs w:val="0"/>
          <w:caps w:val="0"/>
          <w:color w:val="auto"/>
          <w:spacing w:val="0"/>
          <w:sz w:val="32"/>
          <w:szCs w:val="32"/>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u w:val="none"/>
          <w:shd w:val="clear" w:color="auto" w:fill="FFFFFF"/>
          <w:lang w:val="en-US" w:eastAsia="zh-CN"/>
        </w:rPr>
        <w:t>二、党政主要负责人履行推进法治建设第一责任人职责，加强法治政府建设的有关情况</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（一）认真落实“一把手”责任制。</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局党组书记、局长深入学习贯彻习近平法治思想，落实省市</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关于法治政府建设的决策部署。局党组定期研究解决法治有关重大问题，及时向</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委、</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政府请示汇报，确保各项工作高效推进。</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（二）带头学法用法。</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利用全局</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工作会、党员大会、</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党风廉政建设专题会等会议时间，组织党组成员、职工干部学习审计法律法规，重点学习了习近平法治思想和《中华人民共和国预算法</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》《河南省行政执法争议协调办法》《</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中华人民共和国审计法</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》《审计法实施条例》</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等一系列与审计工作密切相关的法律法规，强化了审计人员的法律意识，提高了审计人员的法律素养与业务水平。</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color w:val="auto"/>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）加强法治建设工作部署。</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高度重视法治政府建设工作，多次强调加强审计执法和法治建设的重要关系，以身作则统筹推进“会前学法”，压紧压实分管领导和各业务股室中心工作责任。认真践行习近平总书记“三立”要求，坚持以审计精神立身，以创新规范立业，以自身建设立信。要求借力学法用法平台，全员参加学法用法考试，做到思想认识到位、学用结合到位、监督考核</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到</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位，扎实推进学法用法工作。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黑体" w:hAnsi="黑体" w:eastAsia="黑体" w:cs="黑体"/>
          <w:b w:val="0"/>
          <w:bCs w:val="0"/>
          <w:i w:val="0"/>
          <w:iCs w:val="0"/>
          <w:caps w:val="0"/>
          <w:color w:val="auto"/>
          <w:spacing w:val="0"/>
          <w:sz w:val="32"/>
          <w:szCs w:val="32"/>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u w:val="none"/>
          <w:shd w:val="clear" w:color="auto" w:fill="FFFFFF"/>
          <w:lang w:val="en-US" w:eastAsia="zh-CN"/>
        </w:rPr>
        <w:t>三、2023年度推进法治政府建设存在的不足</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我局在推进法治政府建设方面虽然取得了一定成效，但同时也存在一些薄弱环节。一是</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专业人员力量不足</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，人少事多任务重的矛盾比较突出，审计力量不足，难以拿出全部精力去进行法治学习和监督</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。二是相关法治宣传教育有待加强。目前，</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我</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局的法治宣传教育内容可能相对单一，缺乏深度和广度。因此，需要进一步丰富宣传教育内容，包括审计法律法规、政策文件、案例分析等方面的内容，同时加强内容的深度和广度，使公众更加全面地了解审计工作。</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黑体" w:hAnsi="黑体" w:eastAsia="黑体" w:cs="黑体"/>
          <w:b w:val="0"/>
          <w:bCs w:val="0"/>
          <w:i w:val="0"/>
          <w:iCs w:val="0"/>
          <w:caps w:val="0"/>
          <w:color w:val="auto"/>
          <w:spacing w:val="0"/>
          <w:sz w:val="32"/>
          <w:szCs w:val="32"/>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u w:val="none"/>
          <w:shd w:val="clear" w:color="auto" w:fill="FFFFFF"/>
          <w:lang w:val="en-US" w:eastAsia="zh-CN"/>
        </w:rPr>
        <w:t>四、今后推进法治政府建设的主要安排</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我局将坚持以习近平新时代中国特色社会主义思想为指导，持续深入学习贯彻党的二十大精神、习近平法治思想，认真落实习近平总书记关于审计工作的重要指示批示精神，围绕</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全区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法治建设重点工作等部署，一如既往扎实做好常态化“经济体检”，依法履行监督职责，发挥好审计在党和国家监督体系中的重要作用。</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（一）提高政治站位。</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把讲政治贯穿审计工作始终，紧紧围绕</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委</w:t>
      </w:r>
      <w:r>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t>区</w:t>
      </w:r>
      <w:r>
        <w:rPr>
          <w:rFonts w:hint="default" w:ascii="仿宋_GB2312" w:hAnsi="Helvetica" w:eastAsia="仿宋_GB2312" w:cs="仿宋_GB2312"/>
          <w:i w:val="0"/>
          <w:iCs w:val="0"/>
          <w:caps w:val="0"/>
          <w:color w:val="auto"/>
          <w:spacing w:val="0"/>
          <w:kern w:val="0"/>
          <w:sz w:val="32"/>
          <w:szCs w:val="32"/>
          <w:shd w:val="clear" w:color="auto" w:fill="FFFFFF"/>
          <w:lang w:val="en-US" w:eastAsia="zh-CN" w:bidi="ar"/>
        </w:rPr>
        <w:t>政府工作重点开展审计，围绕普法、执法、守法等法治政府建设工作重点，研究解决法治政府建设中的重大问题，补齐短板，谋划法治政府建设重大事项，实现审计工作一盘棋，更好地聚合审计目标，统筹审计资源，做到上下贯通、同向发力。</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78" w:lineRule="exact"/>
        <w:ind w:left="0" w:right="0" w:firstLine="640" w:firstLineChars="200"/>
        <w:jc w:val="both"/>
        <w:textAlignment w:val="auto"/>
        <w:rPr>
          <w:rFonts w:hint="eastAsia"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）全面推进审计能力建设</w:t>
      </w:r>
      <w:r>
        <w:rPr>
          <w:rFonts w:hint="eastAsia" w:ascii="楷体_GB2312" w:hAnsi="楷体_GB2312" w:eastAsia="楷体_GB2312" w:cs="楷体_GB2312"/>
          <w:color w:val="auto"/>
          <w:sz w:val="32"/>
          <w:szCs w:val="32"/>
          <w:lang w:val="en-US" w:eastAsia="zh-CN"/>
        </w:rPr>
        <w:t>，</w:t>
      </w:r>
      <w:r>
        <w:rPr>
          <w:rFonts w:hint="default" w:ascii="楷体_GB2312" w:hAnsi="楷体_GB2312" w:eastAsia="楷体_GB2312" w:cs="楷体_GB2312"/>
          <w:color w:val="auto"/>
          <w:sz w:val="32"/>
          <w:szCs w:val="32"/>
          <w:lang w:val="en-US" w:eastAsia="zh-CN"/>
        </w:rPr>
        <w:t>提升依法审计工作水平。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全面加强审计队伍的政治思想、作风能力建设，坚持严格管理、严格要求、严格监督。认真执行审计“四严禁”工作要求和“八不准”工作纪律，强化法治观念，严格依照法定程序、方式、标准开展审计工作；着力提高审计队伍专业化建设，推进审计干部职业化发展，大力培养适应大数据审计工作的审计人才，加强审计人员继续教育与培训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ascii="仿宋_GB2312" w:hAnsi="Helvetica" w:eastAsia="仿宋_GB2312" w:cs="仿宋_GB2312"/>
          <w:i w:val="0"/>
          <w:iCs w:val="0"/>
          <w:caps w:val="0"/>
          <w:color w:val="auto"/>
          <w:spacing w:val="0"/>
          <w:kern w:val="0"/>
          <w:sz w:val="32"/>
          <w:szCs w:val="32"/>
          <w:shd w:val="clear" w:color="auto" w:fill="FFFFFF"/>
          <w:lang w:val="en-US" w:eastAsia="zh-CN" w:bidi="ar"/>
        </w:rPr>
      </w:pPr>
      <w:r>
        <w:rPr>
          <w:rFonts w:hint="eastAsia" w:ascii="楷体" w:hAnsi="楷体" w:eastAsia="楷体" w:cs="楷体"/>
          <w:b w:val="0"/>
          <w:bCs w:val="0"/>
          <w:color w:val="auto"/>
          <w:sz w:val="32"/>
          <w:szCs w:val="32"/>
          <w:lang w:val="en-US" w:eastAsia="zh-CN"/>
        </w:rPr>
        <w:t>（三）对标高质量发展首要使命任务要求，高质高效推进审计项目。</w:t>
      </w:r>
      <w:r>
        <w:rPr>
          <w:rFonts w:hint="eastAsia" w:ascii="仿宋_GB2312" w:hAnsi="仿宋_GB2312" w:eastAsia="仿宋_GB2312" w:cs="仿宋_GB2312"/>
          <w:color w:val="auto"/>
          <w:sz w:val="32"/>
          <w:szCs w:val="32"/>
        </w:rPr>
        <w:t>在确保按时间进度完成</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审计项目计划任务的同时，切实加强对审计执行环节的管控，增强审计实施方案的科学性和约束性，确保查证深度，压实复核工作。</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审计委</w:t>
      </w:r>
      <w:r>
        <w:rPr>
          <w:rFonts w:hint="eastAsia" w:ascii="仿宋_GB2312" w:hAnsi="仿宋_GB2312" w:eastAsia="仿宋_GB2312" w:cs="仿宋_GB2312"/>
          <w:color w:val="auto"/>
          <w:sz w:val="32"/>
          <w:szCs w:val="32"/>
          <w:lang w:val="en-US" w:eastAsia="zh-CN"/>
        </w:rPr>
        <w:t>员会</w:t>
      </w:r>
      <w:r>
        <w:rPr>
          <w:rFonts w:hint="eastAsia" w:ascii="仿宋_GB2312" w:hAnsi="仿宋_GB2312" w:eastAsia="仿宋_GB2312" w:cs="仿宋_GB2312"/>
          <w:color w:val="auto"/>
          <w:sz w:val="32"/>
          <w:szCs w:val="32"/>
        </w:rPr>
        <w:t>会议要求贯穿到审计各项工作目标的始终，对标对表、找出差距、明确措施，在重点任务推进、狠抓落实上下功夫，在重攻坚抓落实、提高审计工作质量上下功夫，确保圆满完成年度各项审计工作任务，</w:t>
      </w:r>
      <w:r>
        <w:rPr>
          <w:rFonts w:hint="eastAsia" w:ascii="仿宋_GB2312" w:hAnsi="仿宋_GB2312" w:eastAsia="仿宋_GB2312" w:cs="仿宋_GB2312"/>
          <w:color w:val="auto"/>
          <w:sz w:val="32"/>
          <w:szCs w:val="32"/>
          <w:lang w:val="en-US" w:eastAsia="zh-CN"/>
        </w:rPr>
        <w:t>以审计高质量发展服务经济社会高质量发展</w:t>
      </w:r>
      <w:r>
        <w:rPr>
          <w:rFonts w:hint="eastAsia" w:ascii="仿宋_GB2312" w:hAnsi="仿宋_GB2312" w:eastAsia="仿宋_GB2312" w:cs="仿宋_GB2312"/>
          <w:color w:val="auto"/>
          <w:sz w:val="32"/>
          <w:szCs w:val="32"/>
        </w:rPr>
        <w:t>。</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4" w:firstLine="206" w:firstLineChars="115"/>
      <w:rPr>
        <w:rStyle w:val="11"/>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284" w:firstLine="552" w:firstLineChars="115"/>
                          </w:pPr>
                          <w:r>
                            <w:rPr>
                              <w:rStyle w:val="11"/>
                              <w:rFonts w:hint="eastAsia" w:ascii="新宋体" w:hAnsi="新宋体" w:eastAsia="新宋体" w:cs="新宋体"/>
                              <w:color w:val="000000"/>
                              <w:spacing w:val="100"/>
                              <w:sz w:val="28"/>
                            </w:rPr>
                            <w:t>—</w:t>
                          </w:r>
                          <w:r>
                            <w:rPr>
                              <w:rFonts w:hint="eastAsia" w:ascii="新宋体" w:hAnsi="新宋体" w:eastAsia="新宋体" w:cs="新宋体"/>
                              <w:color w:val="000000"/>
                              <w:sz w:val="28"/>
                            </w:rPr>
                            <w:fldChar w:fldCharType="begin"/>
                          </w:r>
                          <w:r>
                            <w:rPr>
                              <w:rStyle w:val="11"/>
                              <w:rFonts w:hint="eastAsia" w:ascii="新宋体" w:hAnsi="新宋体" w:eastAsia="新宋体" w:cs="新宋体"/>
                              <w:color w:val="000000"/>
                              <w:sz w:val="28"/>
                            </w:rPr>
                            <w:instrText xml:space="preserve">PAGE  </w:instrText>
                          </w:r>
                          <w:r>
                            <w:rPr>
                              <w:rFonts w:hint="eastAsia" w:ascii="新宋体" w:hAnsi="新宋体" w:eastAsia="新宋体" w:cs="新宋体"/>
                              <w:color w:val="000000"/>
                              <w:sz w:val="28"/>
                            </w:rPr>
                            <w:fldChar w:fldCharType="separate"/>
                          </w:r>
                          <w:r>
                            <w:rPr>
                              <w:rStyle w:val="11"/>
                              <w:rFonts w:hint="eastAsia" w:ascii="新宋体" w:hAnsi="新宋体" w:eastAsia="新宋体" w:cs="新宋体"/>
                              <w:color w:val="000000"/>
                              <w:sz w:val="28"/>
                            </w:rPr>
                            <w:t>1</w:t>
                          </w:r>
                          <w:r>
                            <w:rPr>
                              <w:rFonts w:hint="eastAsia" w:ascii="新宋体" w:hAnsi="新宋体" w:eastAsia="新宋体" w:cs="新宋体"/>
                              <w:color w:val="000000"/>
                              <w:sz w:val="28"/>
                            </w:rPr>
                            <w:fldChar w:fldCharType="end"/>
                          </w:r>
                          <w:r>
                            <w:rPr>
                              <w:rStyle w:val="11"/>
                              <w:rFonts w:hint="eastAsia" w:ascii="新宋体" w:hAnsi="新宋体" w:eastAsia="新宋体" w:cs="新宋体"/>
                              <w:color w:val="000000"/>
                              <w:sz w:val="28"/>
                            </w:rPr>
                            <w:t xml:space="preserve"> </w:t>
                          </w:r>
                          <w:r>
                            <w:rPr>
                              <w:rStyle w:val="11"/>
                              <w:rFonts w:hint="eastAsia" w:ascii="新宋体" w:hAnsi="新宋体" w:eastAsia="新宋体" w:cs="新宋体"/>
                              <w:color w:val="000000"/>
                              <w:spacing w:val="10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ind w:right="284" w:firstLine="552" w:firstLineChars="115"/>
                    </w:pPr>
                    <w:r>
                      <w:rPr>
                        <w:rStyle w:val="11"/>
                        <w:rFonts w:hint="eastAsia" w:ascii="新宋体" w:hAnsi="新宋体" w:eastAsia="新宋体" w:cs="新宋体"/>
                        <w:color w:val="000000"/>
                        <w:spacing w:val="100"/>
                        <w:sz w:val="28"/>
                      </w:rPr>
                      <w:t>—</w:t>
                    </w:r>
                    <w:r>
                      <w:rPr>
                        <w:rFonts w:hint="eastAsia" w:ascii="新宋体" w:hAnsi="新宋体" w:eastAsia="新宋体" w:cs="新宋体"/>
                        <w:color w:val="000000"/>
                        <w:sz w:val="28"/>
                      </w:rPr>
                      <w:fldChar w:fldCharType="begin"/>
                    </w:r>
                    <w:r>
                      <w:rPr>
                        <w:rStyle w:val="11"/>
                        <w:rFonts w:hint="eastAsia" w:ascii="新宋体" w:hAnsi="新宋体" w:eastAsia="新宋体" w:cs="新宋体"/>
                        <w:color w:val="000000"/>
                        <w:sz w:val="28"/>
                      </w:rPr>
                      <w:instrText xml:space="preserve">PAGE  </w:instrText>
                    </w:r>
                    <w:r>
                      <w:rPr>
                        <w:rFonts w:hint="eastAsia" w:ascii="新宋体" w:hAnsi="新宋体" w:eastAsia="新宋体" w:cs="新宋体"/>
                        <w:color w:val="000000"/>
                        <w:sz w:val="28"/>
                      </w:rPr>
                      <w:fldChar w:fldCharType="separate"/>
                    </w:r>
                    <w:r>
                      <w:rPr>
                        <w:rStyle w:val="11"/>
                        <w:rFonts w:hint="eastAsia" w:ascii="新宋体" w:hAnsi="新宋体" w:eastAsia="新宋体" w:cs="新宋体"/>
                        <w:color w:val="000000"/>
                        <w:sz w:val="28"/>
                      </w:rPr>
                      <w:t>1</w:t>
                    </w:r>
                    <w:r>
                      <w:rPr>
                        <w:rFonts w:hint="eastAsia" w:ascii="新宋体" w:hAnsi="新宋体" w:eastAsia="新宋体" w:cs="新宋体"/>
                        <w:color w:val="000000"/>
                        <w:sz w:val="28"/>
                      </w:rPr>
                      <w:fldChar w:fldCharType="end"/>
                    </w:r>
                    <w:r>
                      <w:rPr>
                        <w:rStyle w:val="11"/>
                        <w:rFonts w:hint="eastAsia" w:ascii="新宋体" w:hAnsi="新宋体" w:eastAsia="新宋体" w:cs="新宋体"/>
                        <w:color w:val="000000"/>
                        <w:sz w:val="28"/>
                      </w:rPr>
                      <w:t xml:space="preserve"> </w:t>
                    </w:r>
                    <w:r>
                      <w:rPr>
                        <w:rStyle w:val="11"/>
                        <w:rFonts w:hint="eastAsia" w:ascii="新宋体" w:hAnsi="新宋体" w:eastAsia="新宋体" w:cs="新宋体"/>
                        <w:color w:val="000000"/>
                        <w:spacing w:val="100"/>
                        <w:sz w:val="28"/>
                      </w:rPr>
                      <w:t>—</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zIwYWY4YmVkMzk1ZjJlNzA1ZTA0OGY4MWJhMDAifQ=="/>
  </w:docVars>
  <w:rsids>
    <w:rsidRoot w:val="00000000"/>
    <w:rsid w:val="002D0A4F"/>
    <w:rsid w:val="01AD071C"/>
    <w:rsid w:val="0AE70F45"/>
    <w:rsid w:val="0F933B9D"/>
    <w:rsid w:val="1105322F"/>
    <w:rsid w:val="11A45C86"/>
    <w:rsid w:val="13674C31"/>
    <w:rsid w:val="155B6F0B"/>
    <w:rsid w:val="197B7B7C"/>
    <w:rsid w:val="1B661467"/>
    <w:rsid w:val="1D69418F"/>
    <w:rsid w:val="1E5C2959"/>
    <w:rsid w:val="1EF13976"/>
    <w:rsid w:val="1FAB7D05"/>
    <w:rsid w:val="21D9487E"/>
    <w:rsid w:val="258424AE"/>
    <w:rsid w:val="2A064D02"/>
    <w:rsid w:val="2D12214D"/>
    <w:rsid w:val="2EAC5B49"/>
    <w:rsid w:val="307B6E59"/>
    <w:rsid w:val="33862158"/>
    <w:rsid w:val="3C291600"/>
    <w:rsid w:val="3CBF16C6"/>
    <w:rsid w:val="3FFF4431"/>
    <w:rsid w:val="46256F3D"/>
    <w:rsid w:val="4C2F0FAE"/>
    <w:rsid w:val="4C8C0BFE"/>
    <w:rsid w:val="4CC43A0B"/>
    <w:rsid w:val="4E606738"/>
    <w:rsid w:val="4ECD6554"/>
    <w:rsid w:val="568E123C"/>
    <w:rsid w:val="58873140"/>
    <w:rsid w:val="592A1E53"/>
    <w:rsid w:val="5DD36DFC"/>
    <w:rsid w:val="61BD7BD2"/>
    <w:rsid w:val="62C54F90"/>
    <w:rsid w:val="653355C7"/>
    <w:rsid w:val="65654809"/>
    <w:rsid w:val="674C7A2E"/>
    <w:rsid w:val="68D638E2"/>
    <w:rsid w:val="69D658CA"/>
    <w:rsid w:val="6B1940CB"/>
    <w:rsid w:val="6B892982"/>
    <w:rsid w:val="720158B9"/>
    <w:rsid w:val="732C0596"/>
    <w:rsid w:val="764D3DBC"/>
    <w:rsid w:val="76AF3B36"/>
    <w:rsid w:val="775A287B"/>
    <w:rsid w:val="781E4C06"/>
    <w:rsid w:val="7A0F14BB"/>
    <w:rsid w:val="7B4C5C3B"/>
    <w:rsid w:val="7DD93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
    <w:basedOn w:val="3"/>
    <w:autoRedefine/>
    <w:qFormat/>
    <w:uiPriority w:val="0"/>
    <w:pPr>
      <w:spacing w:before="100" w:beforeAutospacing="1"/>
      <w:ind w:left="0" w:firstLine="420" w:firstLineChars="200"/>
    </w:pPr>
    <w:rPr>
      <w:rFonts w:ascii="Times New Roman" w:hAnsi="Times New Roman" w:eastAsia="宋体"/>
      <w:sz w:val="21"/>
      <w:szCs w:val="21"/>
    </w:rPr>
  </w:style>
  <w:style w:type="paragraph" w:customStyle="1" w:styleId="3">
    <w:name w:val="Body Text Indent"/>
    <w:basedOn w:val="1"/>
    <w:uiPriority w:val="0"/>
    <w:pPr>
      <w:spacing w:after="120"/>
      <w:ind w:left="420" w:leftChars="200"/>
    </w:pPr>
  </w:style>
  <w:style w:type="paragraph" w:styleId="4">
    <w:name w:val="Normal Indent"/>
    <w:basedOn w:val="1"/>
    <w:qFormat/>
    <w:uiPriority w:val="0"/>
    <w:pPr>
      <w:ind w:firstLine="420"/>
    </w:pPr>
    <w:rPr>
      <w:rFonts w:hint="eastAsia"/>
    </w:rPr>
  </w:style>
  <w:style w:type="paragraph" w:styleId="5">
    <w:name w:val="Body Text"/>
    <w:basedOn w:val="1"/>
    <w:next w:val="1"/>
    <w:autoRedefine/>
    <w:qFormat/>
    <w:uiPriority w:val="0"/>
    <w:pPr>
      <w:snapToGrid w:val="0"/>
      <w:spacing w:line="579" w:lineRule="exact"/>
    </w:pPr>
    <w:rPr>
      <w:rFonts w:eastAsia="仿宋_GB2312"/>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11">
    <w:name w:val="page number"/>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2679</Words>
  <Characters>2703</Characters>
  <Lines>0</Lines>
  <Paragraphs>0</Paragraphs>
  <TotalTime>15</TotalTime>
  <ScaleCrop>false</ScaleCrop>
  <LinksUpToDate>false</LinksUpToDate>
  <CharactersWithSpaces>2703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2023-03-23T02:39:00Z</dcterms:created>
  <dc:creator>ADMIN-685432135</dc:creator>
  <cp:lastModifiedBy>克克</cp:lastModifiedBy>
  <cp:lastPrinted>2023-12-19T03:09:00Z</cp:lastPrinted>
  <dcterms:modified xsi:type="dcterms:W3CDTF">2024-03-01T08:33:35Z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7E7FEE54ED8940C48DF31B8E36A2913B_13</vt:lpwstr>
  </property>
</Properties>
</file>